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B24C" w14:textId="6113C2AB" w:rsidR="007D7EBC" w:rsidRPr="005877D1" w:rsidRDefault="007D7EBC" w:rsidP="007D7EBC">
      <w:pPr>
        <w:pStyle w:val="Default"/>
        <w:spacing w:line="276" w:lineRule="auto"/>
        <w:jc w:val="center"/>
      </w:pPr>
      <w:r>
        <w:rPr>
          <w:b/>
          <w:bCs/>
        </w:rPr>
        <w:t>Gazdálkodás és menedzsment alapképzés</w:t>
      </w:r>
    </w:p>
    <w:p w14:paraId="72BAEE44" w14:textId="39993485" w:rsidR="007D7EBC" w:rsidRPr="005877D1" w:rsidRDefault="007D7EBC" w:rsidP="007D7EBC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Pénzügy</w:t>
      </w:r>
      <w:r w:rsidRPr="005877D1">
        <w:rPr>
          <w:b/>
          <w:bCs/>
        </w:rPr>
        <w:t xml:space="preserve"> specializáció</w:t>
      </w:r>
    </w:p>
    <w:p w14:paraId="08538CAF" w14:textId="77777777" w:rsidR="007D7EBC" w:rsidRPr="005877D1" w:rsidRDefault="007D7EBC" w:rsidP="007D7EBC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672C9989" w14:textId="77777777" w:rsidR="00DD6BBE" w:rsidRPr="00767605" w:rsidRDefault="00DD6BBE" w:rsidP="00767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5ADE8" w14:textId="77777777" w:rsidR="00767605" w:rsidRPr="00767605" w:rsidRDefault="00767605" w:rsidP="007676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CB2AD" w14:textId="5E8D4465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Pénz, pénzügyi rendszer, pénzkínálat, pénzkereslet és infláció. A jegybank és szerepe</w:t>
      </w:r>
    </w:p>
    <w:p w14:paraId="2A50BCBD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Pénzügyi elemzés mutatószámokkal</w:t>
      </w:r>
    </w:p>
    <w:p w14:paraId="7D981A82" w14:textId="78BADF2F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A pénz időértékének </w:t>
      </w:r>
      <w:proofErr w:type="gramStart"/>
      <w:r w:rsidRPr="00767605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767605">
        <w:rPr>
          <w:rFonts w:ascii="Times New Roman" w:hAnsi="Times New Roman" w:cs="Times New Roman"/>
          <w:sz w:val="24"/>
          <w:szCs w:val="24"/>
        </w:rPr>
        <w:t xml:space="preserve"> alkalmazásai. Beruházás</w:t>
      </w:r>
      <w:r w:rsidR="00767605">
        <w:rPr>
          <w:rFonts w:ascii="Times New Roman" w:hAnsi="Times New Roman" w:cs="Times New Roman"/>
          <w:sz w:val="24"/>
          <w:szCs w:val="24"/>
        </w:rPr>
        <w:t>-</w:t>
      </w:r>
      <w:r w:rsidRPr="00767605">
        <w:rPr>
          <w:rFonts w:ascii="Times New Roman" w:hAnsi="Times New Roman" w:cs="Times New Roman"/>
          <w:sz w:val="24"/>
          <w:szCs w:val="24"/>
        </w:rPr>
        <w:t>értékelés, WACC, IRR, eltérő élettartamú beruházások.</w:t>
      </w:r>
    </w:p>
    <w:p w14:paraId="73EB2BED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Értékpapírok fogalmi ismérvei, csoportosításuk és az egyes értékpapírokra vonatkozó főbb jellemzők. Kötvények és részvények értékelése, elméleti árfolyam, hozamok.</w:t>
      </w:r>
    </w:p>
    <w:p w14:paraId="11263F8A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Egyedi kockázatos és kockázatmentes eszközök hozama és kockázata. Kockázatos eszközök közötti kapcsolat, és az ezekből alkotott portfóliók hozama és kockázata.</w:t>
      </w:r>
    </w:p>
    <w:p w14:paraId="7345F6E2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A tőkepiaci árfolyamok modellje (CAPM). Lehetséges és hatékony portfóliók halmaza. Hasznosság. Portfólió optimalizálás. </w:t>
      </w:r>
      <w:proofErr w:type="gramStart"/>
      <w:r w:rsidRPr="00767605">
        <w:rPr>
          <w:rFonts w:ascii="Times New Roman" w:hAnsi="Times New Roman" w:cs="Times New Roman"/>
          <w:sz w:val="24"/>
          <w:szCs w:val="24"/>
        </w:rPr>
        <w:t>Relatív</w:t>
      </w:r>
      <w:proofErr w:type="gramEnd"/>
      <w:r w:rsidRPr="00767605">
        <w:rPr>
          <w:rFonts w:ascii="Times New Roman" w:hAnsi="Times New Roman" w:cs="Times New Roman"/>
          <w:sz w:val="24"/>
          <w:szCs w:val="24"/>
        </w:rPr>
        <w:t xml:space="preserve"> kockázatmérés.</w:t>
      </w:r>
    </w:p>
    <w:p w14:paraId="67A4232A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Határidős ügyletek: a </w:t>
      </w:r>
      <w:proofErr w:type="spellStart"/>
      <w:r w:rsidRPr="00767605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767605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767605">
        <w:rPr>
          <w:rFonts w:ascii="Times New Roman" w:hAnsi="Times New Roman" w:cs="Times New Roman"/>
          <w:sz w:val="24"/>
          <w:szCs w:val="24"/>
        </w:rPr>
        <w:t>futures</w:t>
      </w:r>
      <w:proofErr w:type="spellEnd"/>
      <w:r w:rsidRPr="00767605">
        <w:rPr>
          <w:rFonts w:ascii="Times New Roman" w:hAnsi="Times New Roman" w:cs="Times New Roman"/>
          <w:sz w:val="24"/>
          <w:szCs w:val="24"/>
        </w:rPr>
        <w:t xml:space="preserve"> ügyletek összehasonlítása és szerepük a kockázatkezelésben.</w:t>
      </w:r>
    </w:p>
    <w:p w14:paraId="5AAB3534" w14:textId="35A7689F" w:rsidR="00DD6BBE" w:rsidRPr="000F1020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020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0F1020">
        <w:rPr>
          <w:rFonts w:ascii="Times New Roman" w:hAnsi="Times New Roman" w:cs="Times New Roman"/>
          <w:sz w:val="24"/>
          <w:szCs w:val="24"/>
        </w:rPr>
        <w:t xml:space="preserve"> bankügyletek, a hitelezés és a hitelkockázat mérése, kezelése.</w:t>
      </w:r>
      <w:r w:rsidR="000F1020" w:rsidRPr="000F1020">
        <w:rPr>
          <w:rFonts w:ascii="Times New Roman" w:hAnsi="Times New Roman" w:cs="Times New Roman"/>
          <w:sz w:val="24"/>
          <w:szCs w:val="24"/>
        </w:rPr>
        <w:t xml:space="preserve"> </w:t>
      </w:r>
      <w:r w:rsidRPr="000F1020">
        <w:rPr>
          <w:rFonts w:ascii="Times New Roman" w:hAnsi="Times New Roman" w:cs="Times New Roman"/>
          <w:sz w:val="24"/>
          <w:szCs w:val="24"/>
        </w:rPr>
        <w:t>Passzív bankügyletek és a banki kockázatok.</w:t>
      </w:r>
    </w:p>
    <w:p w14:paraId="5E9B16C2" w14:textId="37BFBF38" w:rsidR="00DD6BBE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bankok szabályozásának legfontosabb jellemzői, fizetési rendszerek a magyar bankrendszerben.</w:t>
      </w:r>
    </w:p>
    <w:p w14:paraId="6EBD832F" w14:textId="77777777" w:rsidR="00767605" w:rsidRPr="00767605" w:rsidRDefault="00767605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bankügyletek fajtái: pénzszolgáltatási és pénzkezelési szerződések jellemzői. A bankszámlák közötti fizetési módok típusai és sajátosságai</w:t>
      </w:r>
    </w:p>
    <w:p w14:paraId="5FAA3F79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Az opciós ügylet alapvető jellemzői, típusai, a vételi és az eladási opció, az opció értékét befolyásoló tényezők és hatásuk az opció értékére. A </w:t>
      </w:r>
      <w:proofErr w:type="spellStart"/>
      <w:r w:rsidRPr="00767605">
        <w:rPr>
          <w:rFonts w:ascii="Times New Roman" w:hAnsi="Times New Roman" w:cs="Times New Roman"/>
          <w:sz w:val="24"/>
          <w:szCs w:val="24"/>
        </w:rPr>
        <w:t>put-call</w:t>
      </w:r>
      <w:proofErr w:type="spellEnd"/>
      <w:r w:rsidRPr="00767605">
        <w:rPr>
          <w:rFonts w:ascii="Times New Roman" w:hAnsi="Times New Roman" w:cs="Times New Roman"/>
          <w:sz w:val="24"/>
          <w:szCs w:val="24"/>
        </w:rPr>
        <w:t xml:space="preserve"> paritás.</w:t>
      </w:r>
    </w:p>
    <w:p w14:paraId="142F233B" w14:textId="77777777" w:rsidR="00767605" w:rsidRPr="00767605" w:rsidRDefault="00767605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 xml:space="preserve">A kockázati tőke </w:t>
      </w:r>
      <w:proofErr w:type="gramStart"/>
      <w:r w:rsidRPr="00767605">
        <w:rPr>
          <w:rFonts w:ascii="Times New Roman" w:hAnsi="Times New Roman" w:cs="Times New Roman"/>
          <w:sz w:val="24"/>
          <w:szCs w:val="24"/>
        </w:rPr>
        <w:t>finanszírozás</w:t>
      </w:r>
      <w:proofErr w:type="gramEnd"/>
      <w:r w:rsidRPr="00767605">
        <w:rPr>
          <w:rFonts w:ascii="Times New Roman" w:hAnsi="Times New Roman" w:cs="Times New Roman"/>
          <w:sz w:val="24"/>
          <w:szCs w:val="24"/>
        </w:rPr>
        <w:t xml:space="preserve"> folyamatát, egyedi jellemzőit, szerepét a finanszírozási források között.</w:t>
      </w:r>
    </w:p>
    <w:p w14:paraId="127F9107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személyi jövedelemadó alanyi köre, az adóköteles bevételek rendszere, az összevonás alá eső és a külön adózó jövedelmek adójogi sajátosságai</w:t>
      </w:r>
    </w:p>
    <w:p w14:paraId="01C135E0" w14:textId="77777777" w:rsidR="00DD6BBE" w:rsidRPr="00767605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 társasági adó alanyai, az adóalapot módosító tételek csoportosítása és jellemzői, az adókedvezmények köre</w:t>
      </w:r>
    </w:p>
    <w:p w14:paraId="354FE1DE" w14:textId="58EFC45A" w:rsidR="00DD6BBE" w:rsidRDefault="00DD6BBE" w:rsidP="003E5CB2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7605">
        <w:rPr>
          <w:rFonts w:ascii="Times New Roman" w:hAnsi="Times New Roman" w:cs="Times New Roman"/>
          <w:sz w:val="24"/>
          <w:szCs w:val="24"/>
        </w:rPr>
        <w:t>Az általános forgalmi adó alanyi és tárgyi köre, az Európai Közösségen belüli termékbeszerzés és a termékimport fogalma, adójogi vonzatai</w:t>
      </w:r>
    </w:p>
    <w:p w14:paraId="014CA1EB" w14:textId="77777777" w:rsidR="003E5CB2" w:rsidRPr="003E5CB2" w:rsidRDefault="003E5CB2" w:rsidP="003E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A5D2" w14:textId="7CE3E560" w:rsidR="003E5CB2" w:rsidRDefault="003E5CB2" w:rsidP="003E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39640" w14:textId="02BE9D58" w:rsidR="003E5CB2" w:rsidRDefault="00F56A3C" w:rsidP="003E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3E5CB2">
        <w:rPr>
          <w:rFonts w:ascii="Times New Roman" w:hAnsi="Times New Roman" w:cs="Times New Roman"/>
          <w:sz w:val="24"/>
          <w:szCs w:val="24"/>
        </w:rPr>
        <w:t xml:space="preserve">2021. április 20. </w:t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</w:r>
      <w:r w:rsidR="003E5CB2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="003E5CB2">
        <w:rPr>
          <w:rFonts w:ascii="Times New Roman" w:hAnsi="Times New Roman" w:cs="Times New Roman"/>
          <w:sz w:val="24"/>
          <w:szCs w:val="24"/>
        </w:rPr>
        <w:t>Becsky</w:t>
      </w:r>
      <w:proofErr w:type="spellEnd"/>
      <w:r w:rsidR="003E5CB2">
        <w:rPr>
          <w:rFonts w:ascii="Times New Roman" w:hAnsi="Times New Roman" w:cs="Times New Roman"/>
          <w:sz w:val="24"/>
          <w:szCs w:val="24"/>
        </w:rPr>
        <w:t>-Nagy Patrícia</w:t>
      </w:r>
    </w:p>
    <w:p w14:paraId="277C6144" w14:textId="64E9CCF9" w:rsidR="003E5CB2" w:rsidRPr="003E5CB2" w:rsidRDefault="003E5CB2" w:rsidP="003E5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A3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bookmarkEnd w:id="0"/>
      <w:proofErr w:type="gramEnd"/>
    </w:p>
    <w:sectPr w:rsidR="003E5CB2" w:rsidRPr="003E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162"/>
    <w:multiLevelType w:val="hybridMultilevel"/>
    <w:tmpl w:val="DEEED6E6"/>
    <w:lvl w:ilvl="0" w:tplc="D64A7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A7"/>
    <w:multiLevelType w:val="hybridMultilevel"/>
    <w:tmpl w:val="30D01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47D5C"/>
    <w:multiLevelType w:val="hybridMultilevel"/>
    <w:tmpl w:val="00F62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sbQwNrMwNzY3sDBV0lEKTi0uzszPAykwrAUAn5P3JiwAAAA="/>
  </w:docVars>
  <w:rsids>
    <w:rsidRoot w:val="00DD6BBE"/>
    <w:rsid w:val="00065C73"/>
    <w:rsid w:val="000814CD"/>
    <w:rsid w:val="000F1020"/>
    <w:rsid w:val="003E5CB2"/>
    <w:rsid w:val="00767605"/>
    <w:rsid w:val="007D7EBC"/>
    <w:rsid w:val="0097183C"/>
    <w:rsid w:val="009B5415"/>
    <w:rsid w:val="00B211F1"/>
    <w:rsid w:val="00DD6BBE"/>
    <w:rsid w:val="00F5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7735"/>
  <w15:chartTrackingRefBased/>
  <w15:docId w15:val="{E09E1AFC-ACCE-4A80-AEFB-FB5448D4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6BBE"/>
    <w:pPr>
      <w:ind w:left="720"/>
      <w:contextualSpacing/>
    </w:pPr>
  </w:style>
  <w:style w:type="paragraph" w:customStyle="1" w:styleId="Default">
    <w:name w:val="Default"/>
    <w:rsid w:val="007D7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Tarnóczi</dc:creator>
  <cp:keywords/>
  <dc:description/>
  <cp:lastModifiedBy>Veronika Fenyves</cp:lastModifiedBy>
  <cp:revision>6</cp:revision>
  <dcterms:created xsi:type="dcterms:W3CDTF">2021-04-20T14:37:00Z</dcterms:created>
  <dcterms:modified xsi:type="dcterms:W3CDTF">2021-04-20T14:46:00Z</dcterms:modified>
</cp:coreProperties>
</file>