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D50" w:rsidRPr="00F040F1" w:rsidRDefault="00955D50" w:rsidP="00955D50">
      <w:pPr>
        <w:pStyle w:val="Cmsor3"/>
        <w:rPr>
          <w:rFonts w:ascii="Calibri Light" w:hAnsi="Calibri Light" w:cs="Calibri Light"/>
          <w:szCs w:val="20"/>
        </w:rPr>
      </w:pPr>
      <w:bookmarkStart w:id="0" w:name="_Toc520280928"/>
      <w:r w:rsidRPr="00F040F1">
        <w:rPr>
          <w:rFonts w:ascii="Calibri Light" w:hAnsi="Calibri Light" w:cs="Calibri Light"/>
          <w:szCs w:val="20"/>
        </w:rPr>
        <w:t>Pre-degree Certification</w:t>
      </w:r>
      <w:bookmarkEnd w:id="0"/>
    </w:p>
    <w:p w:rsidR="00955D50" w:rsidRPr="00F040F1" w:rsidRDefault="00955D50" w:rsidP="00955D50">
      <w:pPr>
        <w:pStyle w:val="szempont1b"/>
        <w:rPr>
          <w:rFonts w:ascii="Calibri Light" w:hAnsi="Calibri Light" w:cs="Calibri Light"/>
        </w:rPr>
      </w:pPr>
    </w:p>
    <w:p w:rsidR="00955D50" w:rsidRPr="00F040F1" w:rsidRDefault="00955D50" w:rsidP="00955D50">
      <w:pPr>
        <w:rPr>
          <w:rFonts w:ascii="Calibri Light" w:hAnsi="Calibri Light" w:cs="Calibri Light"/>
          <w:szCs w:val="20"/>
        </w:rPr>
      </w:pPr>
      <w:proofErr w:type="gramStart"/>
      <w:r w:rsidRPr="00F040F1">
        <w:rPr>
          <w:rFonts w:ascii="Calibri Light" w:hAnsi="Calibri Light" w:cs="Calibri Light"/>
          <w:szCs w:val="20"/>
        </w:rPr>
        <w:t>A pre-degree certificate is issued by the Faculty</w:t>
      </w:r>
      <w:proofErr w:type="gramEnd"/>
      <w:r w:rsidRPr="00F040F1">
        <w:rPr>
          <w:rFonts w:ascii="Calibri Light" w:hAnsi="Calibri Light" w:cs="Calibri Light"/>
          <w:szCs w:val="20"/>
        </w:rPr>
        <w:t xml:space="preserve"> after completion of the master’s (MSc) program. The pre-degree certificate </w:t>
      </w:r>
      <w:proofErr w:type="gramStart"/>
      <w:r w:rsidRPr="00F040F1">
        <w:rPr>
          <w:rFonts w:ascii="Calibri Light" w:hAnsi="Calibri Light" w:cs="Calibri Light"/>
          <w:szCs w:val="20"/>
        </w:rPr>
        <w:t>can be issued</w:t>
      </w:r>
      <w:proofErr w:type="gramEnd"/>
      <w:r w:rsidRPr="00F040F1">
        <w:rPr>
          <w:rFonts w:ascii="Calibri Light" w:hAnsi="Calibri Light" w:cs="Calibri Light"/>
          <w:szCs w:val="20"/>
        </w:rPr>
        <w:t xml:space="preserve"> if the st</w:t>
      </w:r>
      <w:bookmarkStart w:id="1" w:name="_GoBack"/>
      <w:bookmarkEnd w:id="1"/>
      <w:r w:rsidRPr="00F040F1">
        <w:rPr>
          <w:rFonts w:ascii="Calibri Light" w:hAnsi="Calibri Light" w:cs="Calibri Light"/>
          <w:szCs w:val="20"/>
        </w:rPr>
        <w:t>udent has successfully completed the study and exam requirements as set out in the curriculum, the requirements relating to Physical Education as set out in Section 10 in Rules and Regulations – with the exception of preparing thesis – and gained the necessary credit points (120). The pre-degree certificate verifies (without any mention of assessment or grades) that the student has fulfilled all the necessary study and exam requirements defined in the curriculum and the requirements for Physical Education. Students who obtained the pre-degree certificate can submit the thesis and take the state exam.</w:t>
      </w:r>
    </w:p>
    <w:p w:rsidR="00955D50" w:rsidRPr="00F040F1" w:rsidRDefault="00955D50" w:rsidP="00955D50">
      <w:pPr>
        <w:rPr>
          <w:rFonts w:ascii="Calibri Light" w:hAnsi="Calibri Light" w:cs="Calibri Light"/>
          <w:szCs w:val="20"/>
        </w:rPr>
      </w:pPr>
    </w:p>
    <w:p w:rsidR="00955D50" w:rsidRPr="00F040F1" w:rsidRDefault="00955D50" w:rsidP="00955D50">
      <w:pPr>
        <w:rPr>
          <w:rFonts w:ascii="Calibri Light" w:hAnsi="Calibri Light" w:cs="Calibri Light"/>
          <w:szCs w:val="20"/>
        </w:rPr>
      </w:pPr>
    </w:p>
    <w:p w:rsidR="00955D50" w:rsidRPr="00F040F1" w:rsidRDefault="00955D50" w:rsidP="00955D50">
      <w:pPr>
        <w:pStyle w:val="Cmsor3"/>
        <w:rPr>
          <w:rFonts w:ascii="Calibri Light" w:hAnsi="Calibri Light" w:cs="Calibri Light"/>
          <w:szCs w:val="20"/>
        </w:rPr>
      </w:pPr>
      <w:bookmarkStart w:id="2" w:name="_Toc490138190"/>
      <w:bookmarkStart w:id="3" w:name="_Toc520280929"/>
      <w:r w:rsidRPr="00F040F1">
        <w:rPr>
          <w:rFonts w:ascii="Calibri Light" w:hAnsi="Calibri Light" w:cs="Calibri Light"/>
          <w:szCs w:val="20"/>
        </w:rPr>
        <w:t>Thesis</w:t>
      </w:r>
      <w:bookmarkEnd w:id="2"/>
      <w:bookmarkEnd w:id="3"/>
    </w:p>
    <w:p w:rsidR="00955D50" w:rsidRPr="00F040F1" w:rsidRDefault="00955D50" w:rsidP="00955D50">
      <w:pPr>
        <w:rPr>
          <w:rFonts w:ascii="Calibri Light" w:hAnsi="Calibri Light" w:cs="Calibri Light"/>
          <w:szCs w:val="20"/>
        </w:rPr>
      </w:pPr>
    </w:p>
    <w:p w:rsidR="00955D50" w:rsidRPr="00F040F1" w:rsidRDefault="00955D50" w:rsidP="00955D50">
      <w:pPr>
        <w:rPr>
          <w:rFonts w:ascii="Calibri Light" w:hAnsi="Calibri Light" w:cs="Calibri Light"/>
          <w:szCs w:val="20"/>
        </w:rPr>
      </w:pPr>
      <w:r w:rsidRPr="00F040F1">
        <w:rPr>
          <w:rFonts w:ascii="Calibri Light" w:hAnsi="Calibri Light" w:cs="Calibri Light"/>
          <w:szCs w:val="20"/>
        </w:rPr>
        <w:t xml:space="preserve">Thesis is the creative elaboration of a professional task (fields: engineering processes, finance, economics, marketing, corporate finance, management, quality and environment controlling, production and banking) in written form as defined in the requirements of the training program. By solving the </w:t>
      </w:r>
      <w:proofErr w:type="gramStart"/>
      <w:r w:rsidRPr="00F040F1">
        <w:rPr>
          <w:rFonts w:ascii="Calibri Light" w:hAnsi="Calibri Light" w:cs="Calibri Light"/>
          <w:szCs w:val="20"/>
        </w:rPr>
        <w:t>task</w:t>
      </w:r>
      <w:proofErr w:type="gramEnd"/>
      <w:r w:rsidRPr="00F040F1">
        <w:rPr>
          <w:rFonts w:ascii="Calibri Light" w:hAnsi="Calibri Light" w:cs="Calibri Light"/>
          <w:szCs w:val="20"/>
        </w:rPr>
        <w:t xml:space="preserve"> the student relies on his/her studies using national and international literature under the guidance of an internal and external supervisor. By preparing and defending thesis students who complete the Engineering Management master’s program prove that they are capable of the practical applications of the acquired skills, summarizing the work done and its results in a professional way, creatively solving the tasks related to the topic and doing individual professional work.</w:t>
      </w:r>
    </w:p>
    <w:p w:rsidR="00955D50" w:rsidRPr="00F040F1" w:rsidRDefault="00955D50" w:rsidP="00955D50">
      <w:pPr>
        <w:rPr>
          <w:rFonts w:ascii="Calibri Light" w:hAnsi="Calibri Light" w:cs="Calibri Light"/>
          <w:szCs w:val="20"/>
        </w:rPr>
      </w:pPr>
    </w:p>
    <w:p w:rsidR="00955D50" w:rsidRPr="00F040F1" w:rsidRDefault="00955D50" w:rsidP="00955D50">
      <w:pPr>
        <w:rPr>
          <w:rFonts w:ascii="Calibri Light" w:hAnsi="Calibri Light" w:cs="Calibri Light"/>
          <w:szCs w:val="20"/>
        </w:rPr>
      </w:pPr>
      <w:r w:rsidRPr="00F040F1">
        <w:rPr>
          <w:rFonts w:ascii="Calibri Light" w:hAnsi="Calibri Light" w:cs="Calibri Light"/>
          <w:szCs w:val="20"/>
        </w:rPr>
        <w:t xml:space="preserve">Precondition for taking the state exam for MSc students is to prepare the thesis. Requirements of the training program contain the content requirements for thesis, the general aspects of the evaluation and the number of credit points assigned to thesis (30). </w:t>
      </w:r>
    </w:p>
    <w:p w:rsidR="00955D50" w:rsidRPr="00F040F1" w:rsidRDefault="00955D50" w:rsidP="00955D50">
      <w:pPr>
        <w:rPr>
          <w:rFonts w:ascii="Calibri Light" w:hAnsi="Calibri Light" w:cs="Calibri Light"/>
          <w:szCs w:val="20"/>
        </w:rPr>
      </w:pPr>
      <w:proofErr w:type="gramStart"/>
      <w:r w:rsidRPr="00F040F1">
        <w:rPr>
          <w:rFonts w:ascii="Calibri Light" w:hAnsi="Calibri Light" w:cs="Calibri Light"/>
          <w:szCs w:val="20"/>
        </w:rPr>
        <w:t>Thesis topics are announced by the departments</w:t>
      </w:r>
      <w:proofErr w:type="gramEnd"/>
      <w:r w:rsidRPr="00F040F1">
        <w:rPr>
          <w:rFonts w:ascii="Calibri Light" w:hAnsi="Calibri Light" w:cs="Calibri Light"/>
          <w:szCs w:val="20"/>
        </w:rPr>
        <w:t xml:space="preserve"> until the end of Week 4 of the study period of the last but one semester. The department hands out thesis guides to assist students with preparing thesis. </w:t>
      </w:r>
      <w:proofErr w:type="gramStart"/>
      <w:r w:rsidRPr="00F040F1">
        <w:rPr>
          <w:rFonts w:ascii="Calibri Light" w:hAnsi="Calibri Light" w:cs="Calibri Light"/>
          <w:szCs w:val="20"/>
        </w:rPr>
        <w:t>Thesis topic can be suggested by the student</w:t>
      </w:r>
      <w:proofErr w:type="gramEnd"/>
      <w:r w:rsidRPr="00F040F1">
        <w:rPr>
          <w:rFonts w:ascii="Calibri Light" w:hAnsi="Calibri Light" w:cs="Calibri Light"/>
          <w:szCs w:val="20"/>
        </w:rPr>
        <w:t xml:space="preserve">, as well. The head of department decides on the acceptance of the topic. The conditions on the acceptance of thesis as National Conference of Scientific Students’ Association (hereinafter NCSSA) topic are specified by the Faculty. The NCSSA work is supposed to meet the requirements in form and content for thesis. Furthermore, it is necessary that the committee of the Pre-NCSSA </w:t>
      </w:r>
      <w:proofErr w:type="gramStart"/>
      <w:r w:rsidRPr="00F040F1">
        <w:rPr>
          <w:rFonts w:ascii="Calibri Light" w:hAnsi="Calibri Light" w:cs="Calibri Light"/>
          <w:szCs w:val="20"/>
        </w:rPr>
        <w:t>makes</w:t>
      </w:r>
      <w:proofErr w:type="gramEnd"/>
      <w:r w:rsidRPr="00F040F1">
        <w:rPr>
          <w:rFonts w:ascii="Calibri Light" w:hAnsi="Calibri Light" w:cs="Calibri Light"/>
          <w:szCs w:val="20"/>
        </w:rPr>
        <w:t xml:space="preserve"> suggestions on the NCSSA work to become a thesis. Formal requirements of thesis </w:t>
      </w:r>
      <w:proofErr w:type="gramStart"/>
      <w:r w:rsidRPr="00F040F1">
        <w:rPr>
          <w:rFonts w:ascii="Calibri Light" w:hAnsi="Calibri Light" w:cs="Calibri Light"/>
          <w:szCs w:val="20"/>
        </w:rPr>
        <w:t>are announced</w:t>
      </w:r>
      <w:proofErr w:type="gramEnd"/>
      <w:r w:rsidRPr="00F040F1">
        <w:rPr>
          <w:rFonts w:ascii="Calibri Light" w:hAnsi="Calibri Light" w:cs="Calibri Light"/>
          <w:szCs w:val="20"/>
        </w:rPr>
        <w:t xml:space="preserve"> in writing by the department.</w:t>
      </w:r>
    </w:p>
    <w:p w:rsidR="00955D50" w:rsidRPr="00F040F1" w:rsidRDefault="00955D50" w:rsidP="00955D50">
      <w:pPr>
        <w:rPr>
          <w:rFonts w:ascii="Calibri Light" w:hAnsi="Calibri Light" w:cs="Calibri Light"/>
          <w:szCs w:val="20"/>
        </w:rPr>
      </w:pPr>
      <w:r w:rsidRPr="00F040F1">
        <w:rPr>
          <w:rFonts w:ascii="Calibri Light" w:hAnsi="Calibri Light" w:cs="Calibri Light"/>
          <w:szCs w:val="20"/>
        </w:rPr>
        <w:t xml:space="preserve">Thesis is prepared under the guidance of an internal supervisor previously approved by the department and with the assistance of an external supervisor also previously approved by the department. </w:t>
      </w:r>
    </w:p>
    <w:p w:rsidR="00955D50" w:rsidRPr="00F040F1" w:rsidRDefault="00955D50" w:rsidP="00955D50">
      <w:pPr>
        <w:rPr>
          <w:rFonts w:ascii="Calibri Light" w:hAnsi="Calibri Light" w:cs="Calibri Light"/>
          <w:szCs w:val="20"/>
        </w:rPr>
      </w:pPr>
      <w:r w:rsidRPr="00F040F1">
        <w:rPr>
          <w:rFonts w:ascii="Calibri Light" w:hAnsi="Calibri Light" w:cs="Calibri Light"/>
          <w:szCs w:val="20"/>
        </w:rPr>
        <w:t xml:space="preserve">The faculty academic calendar (issued by the Vice-Rector for Education) sets the thesis submission deadline, for want of </w:t>
      </w:r>
      <w:proofErr w:type="gramStart"/>
      <w:r w:rsidRPr="00F040F1">
        <w:rPr>
          <w:rFonts w:ascii="Calibri Light" w:hAnsi="Calibri Light" w:cs="Calibri Light"/>
          <w:szCs w:val="20"/>
        </w:rPr>
        <w:t>this</w:t>
      </w:r>
      <w:proofErr w:type="gramEnd"/>
      <w:r w:rsidRPr="00F040F1">
        <w:rPr>
          <w:rFonts w:ascii="Calibri Light" w:hAnsi="Calibri Light" w:cs="Calibri Light"/>
          <w:szCs w:val="20"/>
        </w:rPr>
        <w:t xml:space="preserve"> the head of department decides.</w:t>
      </w:r>
    </w:p>
    <w:p w:rsidR="00955D50" w:rsidRPr="00F040F1" w:rsidRDefault="00955D50" w:rsidP="00955D50">
      <w:pPr>
        <w:rPr>
          <w:rFonts w:ascii="Calibri Light" w:hAnsi="Calibri Light" w:cs="Calibri Light"/>
          <w:szCs w:val="20"/>
        </w:rPr>
      </w:pPr>
      <w:proofErr w:type="gramStart"/>
      <w:r w:rsidRPr="00F040F1">
        <w:rPr>
          <w:rFonts w:ascii="Calibri Light" w:hAnsi="Calibri Light" w:cs="Calibri Light"/>
          <w:szCs w:val="20"/>
        </w:rPr>
        <w:t>Thesis is evaluated by the referee</w:t>
      </w:r>
      <w:proofErr w:type="gramEnd"/>
      <w:r w:rsidRPr="00F040F1">
        <w:rPr>
          <w:rFonts w:ascii="Calibri Light" w:hAnsi="Calibri Light" w:cs="Calibri Light"/>
          <w:szCs w:val="20"/>
        </w:rPr>
        <w:t xml:space="preserve">. </w:t>
      </w:r>
      <w:proofErr w:type="gramStart"/>
      <w:r w:rsidRPr="00F040F1">
        <w:rPr>
          <w:rFonts w:ascii="Calibri Light" w:hAnsi="Calibri Light" w:cs="Calibri Light"/>
          <w:szCs w:val="20"/>
        </w:rPr>
        <w:t>On the basis of</w:t>
      </w:r>
      <w:proofErr w:type="gramEnd"/>
      <w:r w:rsidRPr="00F040F1">
        <w:rPr>
          <w:rFonts w:ascii="Calibri Light" w:hAnsi="Calibri Light" w:cs="Calibri Light"/>
          <w:szCs w:val="20"/>
        </w:rPr>
        <w:t xml:space="preserve"> the thesis review report the internal supervisor makes suggestions for the evaluation of thesis. Finally, the committee assesses thesis in a five-point system. If thesis </w:t>
      </w:r>
      <w:proofErr w:type="gramStart"/>
      <w:r w:rsidRPr="00F040F1">
        <w:rPr>
          <w:rFonts w:ascii="Calibri Light" w:hAnsi="Calibri Light" w:cs="Calibri Light"/>
          <w:szCs w:val="20"/>
        </w:rPr>
        <w:t>has been unequivocally assessed</w:t>
      </w:r>
      <w:proofErr w:type="gramEnd"/>
      <w:r w:rsidRPr="00F040F1">
        <w:rPr>
          <w:rFonts w:ascii="Calibri Light" w:hAnsi="Calibri Light" w:cs="Calibri Light"/>
          <w:szCs w:val="20"/>
        </w:rPr>
        <w:t xml:space="preserve"> with a fail by the referees, then the candidate is not allowed to take the state exam and is supposed to prepare a new thesis. The candidate has to </w:t>
      </w:r>
      <w:proofErr w:type="gramStart"/>
      <w:r w:rsidRPr="00F040F1">
        <w:rPr>
          <w:rFonts w:ascii="Calibri Light" w:hAnsi="Calibri Light" w:cs="Calibri Light"/>
          <w:szCs w:val="20"/>
        </w:rPr>
        <w:t>be notified</w:t>
      </w:r>
      <w:proofErr w:type="gramEnd"/>
      <w:r w:rsidRPr="00F040F1">
        <w:rPr>
          <w:rFonts w:ascii="Calibri Light" w:hAnsi="Calibri Light" w:cs="Calibri Light"/>
          <w:szCs w:val="20"/>
        </w:rPr>
        <w:t xml:space="preserve"> of the decision. Conditions on resubmitting the thesis </w:t>
      </w:r>
      <w:proofErr w:type="gramStart"/>
      <w:r w:rsidRPr="00F040F1">
        <w:rPr>
          <w:rFonts w:ascii="Calibri Light" w:hAnsi="Calibri Light" w:cs="Calibri Light"/>
          <w:szCs w:val="20"/>
        </w:rPr>
        <w:t>are defined</w:t>
      </w:r>
      <w:proofErr w:type="gramEnd"/>
      <w:r w:rsidRPr="00F040F1">
        <w:rPr>
          <w:rFonts w:ascii="Calibri Light" w:hAnsi="Calibri Light" w:cs="Calibri Light"/>
          <w:szCs w:val="20"/>
        </w:rPr>
        <w:t xml:space="preserve"> by the program coordinator.</w:t>
      </w:r>
    </w:p>
    <w:p w:rsidR="00955D50" w:rsidRDefault="00955D50" w:rsidP="00955D50">
      <w:pPr>
        <w:rPr>
          <w:rFonts w:ascii="Calibri Light" w:hAnsi="Calibri Light" w:cs="Calibri Light"/>
          <w:szCs w:val="20"/>
        </w:rPr>
      </w:pPr>
    </w:p>
    <w:p w:rsidR="00F040F1" w:rsidRPr="00F040F1" w:rsidRDefault="00F040F1" w:rsidP="00955D50">
      <w:pPr>
        <w:rPr>
          <w:rFonts w:ascii="Calibri Light" w:hAnsi="Calibri Light" w:cs="Calibri Light"/>
          <w:szCs w:val="20"/>
        </w:rPr>
      </w:pPr>
    </w:p>
    <w:p w:rsidR="00955D50" w:rsidRPr="00F040F1" w:rsidRDefault="00955D50" w:rsidP="00955D50">
      <w:pPr>
        <w:rPr>
          <w:rFonts w:ascii="Calibri Light" w:hAnsi="Calibri Light" w:cs="Calibri Light"/>
          <w:color w:val="5F497A" w:themeColor="accent4" w:themeShade="BF"/>
          <w:szCs w:val="20"/>
        </w:rPr>
      </w:pPr>
    </w:p>
    <w:p w:rsidR="00955D50" w:rsidRPr="00F040F1" w:rsidRDefault="00955D50" w:rsidP="00955D50">
      <w:pPr>
        <w:pStyle w:val="Cmsor3"/>
        <w:rPr>
          <w:rFonts w:ascii="Calibri Light" w:hAnsi="Calibri Light" w:cs="Calibri Light"/>
          <w:szCs w:val="20"/>
        </w:rPr>
      </w:pPr>
      <w:bookmarkStart w:id="4" w:name="_Toc490138191"/>
      <w:bookmarkStart w:id="5" w:name="_Toc520280930"/>
      <w:r w:rsidRPr="00F040F1">
        <w:rPr>
          <w:rFonts w:ascii="Calibri Light" w:hAnsi="Calibri Light" w:cs="Calibri Light"/>
          <w:szCs w:val="20"/>
        </w:rPr>
        <w:lastRenderedPageBreak/>
        <w:t>State Exam</w:t>
      </w:r>
      <w:bookmarkEnd w:id="4"/>
      <w:bookmarkEnd w:id="5"/>
    </w:p>
    <w:p w:rsidR="00955D50" w:rsidRPr="00F040F1" w:rsidRDefault="00955D50" w:rsidP="00955D50">
      <w:pPr>
        <w:rPr>
          <w:rFonts w:ascii="Calibri Light" w:hAnsi="Calibri Light" w:cs="Calibri Light"/>
          <w:szCs w:val="20"/>
        </w:rPr>
      </w:pPr>
    </w:p>
    <w:p w:rsidR="00955D50" w:rsidRPr="00F040F1" w:rsidRDefault="00955D50" w:rsidP="00955D50">
      <w:pPr>
        <w:rPr>
          <w:rFonts w:ascii="Calibri Light" w:hAnsi="Calibri Light" w:cs="Calibri Light"/>
          <w:szCs w:val="20"/>
        </w:rPr>
      </w:pPr>
      <w:r w:rsidRPr="00F040F1">
        <w:rPr>
          <w:rFonts w:ascii="Calibri Light" w:hAnsi="Calibri Light" w:cs="Calibri Light"/>
          <w:szCs w:val="20"/>
        </w:rPr>
        <w:t xml:space="preserve">Students having obtained the pre-degree certificate will finish their studies in the Engineering Management master’s (MSc) program by taking the state exam. State exam means the testing and evaluating of the knowledge (skill) necessary to obtain higher education qualification. In the state exam candidates prove that they can apply the acquired knowledge. Requirements of the training program contain the preconditions on taking the state exam and the procedure of the state exam itself. State exam </w:t>
      </w:r>
      <w:proofErr w:type="gramStart"/>
      <w:r w:rsidRPr="00F040F1">
        <w:rPr>
          <w:rFonts w:ascii="Calibri Light" w:hAnsi="Calibri Light" w:cs="Calibri Light"/>
          <w:szCs w:val="20"/>
        </w:rPr>
        <w:t>can be taken</w:t>
      </w:r>
      <w:proofErr w:type="gramEnd"/>
      <w:r w:rsidRPr="00F040F1">
        <w:rPr>
          <w:rFonts w:ascii="Calibri Light" w:hAnsi="Calibri Light" w:cs="Calibri Light"/>
          <w:szCs w:val="20"/>
        </w:rPr>
        <w:t xml:space="preserve"> in the first state exam period after the award of the pre-degree certificate. State exam </w:t>
      </w:r>
      <w:proofErr w:type="gramStart"/>
      <w:r w:rsidRPr="00F040F1">
        <w:rPr>
          <w:rFonts w:ascii="Calibri Light" w:hAnsi="Calibri Light" w:cs="Calibri Light"/>
          <w:szCs w:val="20"/>
        </w:rPr>
        <w:t>is conducted</w:t>
      </w:r>
      <w:proofErr w:type="gramEnd"/>
      <w:r w:rsidRPr="00F040F1">
        <w:rPr>
          <w:rFonts w:ascii="Calibri Light" w:hAnsi="Calibri Light" w:cs="Calibri Light"/>
          <w:szCs w:val="20"/>
        </w:rPr>
        <w:t xml:space="preserve"> in front of the state exam board. If the candidate fails to take the state exam until the termination of his/her student status, he/she is allowed to take the state exam after the termination of his/her student status according to the regulations (in relation to state exams) which applied at the time of the candidate’s first taking the state exam.</w:t>
      </w:r>
    </w:p>
    <w:p w:rsidR="00955D50" w:rsidRPr="00F040F1" w:rsidRDefault="00955D50" w:rsidP="00955D50">
      <w:pPr>
        <w:rPr>
          <w:rFonts w:ascii="Calibri Light" w:hAnsi="Calibri Light" w:cs="Calibri Light"/>
          <w:szCs w:val="20"/>
        </w:rPr>
      </w:pPr>
    </w:p>
    <w:p w:rsidR="00955D50" w:rsidRPr="00F040F1" w:rsidRDefault="00955D50" w:rsidP="00955D50">
      <w:pPr>
        <w:rPr>
          <w:rFonts w:ascii="Calibri Light" w:hAnsi="Calibri Light" w:cs="Calibri Light"/>
          <w:i/>
          <w:szCs w:val="20"/>
        </w:rPr>
      </w:pPr>
      <w:r w:rsidRPr="00F040F1">
        <w:rPr>
          <w:rFonts w:ascii="Calibri Light" w:hAnsi="Calibri Light" w:cs="Calibri Light"/>
          <w:i/>
          <w:szCs w:val="20"/>
        </w:rPr>
        <w:t xml:space="preserve">State exam consists of different parts (as defined in the curriculum): </w:t>
      </w:r>
    </w:p>
    <w:p w:rsidR="00955D50" w:rsidRPr="00F040F1" w:rsidRDefault="00955D50" w:rsidP="00955D50">
      <w:pPr>
        <w:pStyle w:val="Listaszerbekezds"/>
        <w:numPr>
          <w:ilvl w:val="0"/>
          <w:numId w:val="1"/>
        </w:numPr>
        <w:rPr>
          <w:rFonts w:ascii="Calibri Light" w:hAnsi="Calibri Light" w:cs="Calibri Light"/>
          <w:szCs w:val="20"/>
        </w:rPr>
      </w:pPr>
      <w:r w:rsidRPr="00F040F1">
        <w:rPr>
          <w:rFonts w:ascii="Calibri Light" w:hAnsi="Calibri Light" w:cs="Calibri Light"/>
          <w:szCs w:val="20"/>
        </w:rPr>
        <w:t>defending thesis, answers to possible questions, remarks;</w:t>
      </w:r>
    </w:p>
    <w:p w:rsidR="00955D50" w:rsidRPr="00F040F1" w:rsidRDefault="00955D50" w:rsidP="00955D50">
      <w:pPr>
        <w:pStyle w:val="Listaszerbekezds"/>
        <w:numPr>
          <w:ilvl w:val="0"/>
          <w:numId w:val="1"/>
        </w:numPr>
        <w:rPr>
          <w:rFonts w:ascii="Calibri Light" w:hAnsi="Calibri Light" w:cs="Calibri Light"/>
          <w:szCs w:val="20"/>
        </w:rPr>
      </w:pPr>
      <w:proofErr w:type="gramStart"/>
      <w:r w:rsidRPr="00F040F1">
        <w:rPr>
          <w:rFonts w:ascii="Calibri Light" w:hAnsi="Calibri Light" w:cs="Calibri Light"/>
          <w:szCs w:val="20"/>
        </w:rPr>
        <w:t>oral</w:t>
      </w:r>
      <w:proofErr w:type="gramEnd"/>
      <w:r w:rsidRPr="00F040F1">
        <w:rPr>
          <w:rFonts w:ascii="Calibri Light" w:hAnsi="Calibri Light" w:cs="Calibri Light"/>
          <w:szCs w:val="20"/>
        </w:rPr>
        <w:t xml:space="preserve"> exam: 1: Integrated Management Module: Advanced Corporate Finance, Advanced Operation Management, Advanced Quality Management, Project Management.</w:t>
      </w:r>
    </w:p>
    <w:p w:rsidR="00955D50" w:rsidRPr="00F040F1" w:rsidRDefault="00955D50" w:rsidP="00955D50">
      <w:pPr>
        <w:rPr>
          <w:rFonts w:ascii="Calibri Light" w:hAnsi="Calibri Light" w:cs="Calibri Light"/>
          <w:szCs w:val="20"/>
        </w:rPr>
      </w:pPr>
    </w:p>
    <w:p w:rsidR="00955D50" w:rsidRPr="00F040F1" w:rsidRDefault="00955D50" w:rsidP="00955D50">
      <w:pPr>
        <w:rPr>
          <w:rFonts w:ascii="Calibri Light" w:hAnsi="Calibri Light" w:cs="Calibri Light"/>
          <w:i/>
          <w:szCs w:val="20"/>
        </w:rPr>
      </w:pPr>
      <w:r w:rsidRPr="00F040F1">
        <w:rPr>
          <w:rFonts w:ascii="Calibri Light" w:hAnsi="Calibri Light" w:cs="Calibri Light"/>
          <w:i/>
          <w:szCs w:val="20"/>
        </w:rPr>
        <w:t>Engineering modules depending on the specialization:</w:t>
      </w:r>
    </w:p>
    <w:p w:rsidR="00955D50" w:rsidRPr="00F040F1" w:rsidRDefault="00955D50" w:rsidP="00955D50">
      <w:pPr>
        <w:pStyle w:val="Listaszerbekezds"/>
        <w:numPr>
          <w:ilvl w:val="2"/>
          <w:numId w:val="2"/>
        </w:numPr>
        <w:ind w:left="709"/>
        <w:rPr>
          <w:rFonts w:ascii="Calibri Light" w:hAnsi="Calibri Light" w:cs="Calibri Light"/>
          <w:szCs w:val="20"/>
        </w:rPr>
      </w:pPr>
      <w:r w:rsidRPr="00F040F1">
        <w:rPr>
          <w:rFonts w:ascii="Calibri Light" w:hAnsi="Calibri Light" w:cs="Calibri Light"/>
          <w:szCs w:val="20"/>
        </w:rPr>
        <w:t xml:space="preserve">Oral exam 2: Engineering Module – Industrial Process Engineering Specialization: Production Technologies, Manufacturing Cells, Fuzzy Logic, </w:t>
      </w:r>
      <w:proofErr w:type="gramStart"/>
      <w:r w:rsidRPr="00F040F1">
        <w:rPr>
          <w:rFonts w:ascii="Calibri Light" w:hAnsi="Calibri Light" w:cs="Calibri Light"/>
          <w:szCs w:val="20"/>
        </w:rPr>
        <w:t>Computer</w:t>
      </w:r>
      <w:proofErr w:type="gramEnd"/>
      <w:r w:rsidRPr="00F040F1">
        <w:rPr>
          <w:rFonts w:ascii="Calibri Light" w:hAnsi="Calibri Light" w:cs="Calibri Light"/>
          <w:szCs w:val="20"/>
        </w:rPr>
        <w:t xml:space="preserve"> System Engineering.</w:t>
      </w:r>
    </w:p>
    <w:p w:rsidR="00955D50" w:rsidRPr="00F040F1" w:rsidRDefault="00955D50" w:rsidP="00955D50">
      <w:pPr>
        <w:rPr>
          <w:rFonts w:ascii="Calibri Light" w:hAnsi="Calibri Light" w:cs="Calibri Light"/>
          <w:szCs w:val="20"/>
        </w:rPr>
      </w:pPr>
    </w:p>
    <w:p w:rsidR="00955D50" w:rsidRPr="00F040F1" w:rsidRDefault="00955D50" w:rsidP="00955D50">
      <w:pPr>
        <w:pStyle w:val="Listaszerbekezds"/>
        <w:numPr>
          <w:ilvl w:val="2"/>
          <w:numId w:val="2"/>
        </w:numPr>
        <w:ind w:left="709"/>
        <w:rPr>
          <w:rFonts w:ascii="Calibri Light" w:hAnsi="Calibri Light" w:cs="Calibri Light"/>
          <w:szCs w:val="20"/>
        </w:rPr>
      </w:pPr>
      <w:r w:rsidRPr="00F040F1">
        <w:rPr>
          <w:rFonts w:ascii="Calibri Light" w:hAnsi="Calibri Light" w:cs="Calibri Light"/>
          <w:szCs w:val="20"/>
        </w:rPr>
        <w:t xml:space="preserve">Oral exam 2: Engineering Module – Construction Industry Specialization: Energy-Conscious Architecture, Building Energetics, Reconstruction, </w:t>
      </w:r>
      <w:proofErr w:type="gramStart"/>
      <w:r w:rsidRPr="00F040F1">
        <w:rPr>
          <w:rFonts w:ascii="Calibri Light" w:hAnsi="Calibri Light" w:cs="Calibri Light"/>
          <w:szCs w:val="20"/>
        </w:rPr>
        <w:t>Construction</w:t>
      </w:r>
      <w:proofErr w:type="gramEnd"/>
      <w:r w:rsidRPr="00F040F1">
        <w:rPr>
          <w:rFonts w:ascii="Calibri Light" w:hAnsi="Calibri Light" w:cs="Calibri Light"/>
          <w:szCs w:val="20"/>
        </w:rPr>
        <w:t xml:space="preserve"> Management.</w:t>
      </w:r>
    </w:p>
    <w:p w:rsidR="00955D50" w:rsidRPr="00F040F1" w:rsidRDefault="00955D50" w:rsidP="00955D50">
      <w:pPr>
        <w:pStyle w:val="Listaszerbekezds"/>
        <w:ind w:left="709"/>
        <w:rPr>
          <w:rFonts w:ascii="Calibri Light" w:hAnsi="Calibri Light" w:cs="Calibri Light"/>
          <w:szCs w:val="20"/>
        </w:rPr>
      </w:pPr>
    </w:p>
    <w:p w:rsidR="00955D50" w:rsidRPr="00F040F1" w:rsidRDefault="00955D50" w:rsidP="00955D50">
      <w:pPr>
        <w:pStyle w:val="Listaszerbekezds"/>
        <w:numPr>
          <w:ilvl w:val="2"/>
          <w:numId w:val="2"/>
        </w:numPr>
        <w:ind w:left="709"/>
        <w:rPr>
          <w:rFonts w:ascii="Calibri Light" w:hAnsi="Calibri Light" w:cs="Calibri Light"/>
          <w:szCs w:val="20"/>
        </w:rPr>
      </w:pPr>
      <w:r w:rsidRPr="00F040F1">
        <w:rPr>
          <w:rFonts w:ascii="Calibri Light" w:hAnsi="Calibri Light" w:cs="Calibri Light"/>
          <w:szCs w:val="20"/>
        </w:rPr>
        <w:t>Oral exam 2: Engineering Module – Material Handling and Logistics Specialization: Advanced Production Logistics, Digital Logistics, Computer Systems of Supply Chain, Computer System Engineering.</w:t>
      </w:r>
    </w:p>
    <w:p w:rsidR="00955D50" w:rsidRPr="00F040F1" w:rsidRDefault="00955D50" w:rsidP="00955D50">
      <w:pPr>
        <w:rPr>
          <w:rFonts w:ascii="Calibri Light" w:hAnsi="Calibri Light" w:cs="Calibri Light"/>
          <w:szCs w:val="20"/>
        </w:rPr>
      </w:pPr>
    </w:p>
    <w:p w:rsidR="00955D50" w:rsidRPr="00F040F1" w:rsidRDefault="00955D50" w:rsidP="00955D50">
      <w:pPr>
        <w:rPr>
          <w:rFonts w:ascii="Calibri Light" w:hAnsi="Calibri Light" w:cs="Calibri Light"/>
          <w:szCs w:val="20"/>
        </w:rPr>
      </w:pPr>
      <w:r w:rsidRPr="00F040F1">
        <w:rPr>
          <w:rFonts w:ascii="Calibri Light" w:hAnsi="Calibri Light" w:cs="Calibri Light"/>
          <w:szCs w:val="20"/>
        </w:rPr>
        <w:t xml:space="preserve">The latest that the </w:t>
      </w:r>
      <w:proofErr w:type="gramStart"/>
      <w:r w:rsidRPr="00F040F1">
        <w:rPr>
          <w:rFonts w:ascii="Calibri Light" w:hAnsi="Calibri Light" w:cs="Calibri Light"/>
          <w:szCs w:val="20"/>
        </w:rPr>
        <w:t>requirements and topics of the oral part of the state exam are announced by the department</w:t>
      </w:r>
      <w:proofErr w:type="gramEnd"/>
      <w:r w:rsidRPr="00F040F1">
        <w:rPr>
          <w:rFonts w:ascii="Calibri Light" w:hAnsi="Calibri Light" w:cs="Calibri Light"/>
          <w:szCs w:val="20"/>
        </w:rPr>
        <w:t xml:space="preserve"> is the study period of the final semester. The </w:t>
      </w:r>
      <w:proofErr w:type="gramStart"/>
      <w:r w:rsidRPr="00F040F1">
        <w:rPr>
          <w:rFonts w:ascii="Calibri Light" w:hAnsi="Calibri Light" w:cs="Calibri Light"/>
          <w:szCs w:val="20"/>
        </w:rPr>
        <w:t>oral exam is evaluated on a five-point scale by the members of the committee</w:t>
      </w:r>
      <w:proofErr w:type="gramEnd"/>
      <w:r w:rsidRPr="00F040F1">
        <w:rPr>
          <w:rFonts w:ascii="Calibri Light" w:hAnsi="Calibri Light" w:cs="Calibri Light"/>
          <w:szCs w:val="20"/>
        </w:rPr>
        <w:t xml:space="preserve">. Final grade for the state exam </w:t>
      </w:r>
      <w:proofErr w:type="gramStart"/>
      <w:r w:rsidRPr="00F040F1">
        <w:rPr>
          <w:rFonts w:ascii="Calibri Light" w:hAnsi="Calibri Light" w:cs="Calibri Light"/>
          <w:szCs w:val="20"/>
        </w:rPr>
        <w:t>will be decided on</w:t>
      </w:r>
      <w:proofErr w:type="gramEnd"/>
      <w:r w:rsidRPr="00F040F1">
        <w:rPr>
          <w:rFonts w:ascii="Calibri Light" w:hAnsi="Calibri Light" w:cs="Calibri Light"/>
          <w:szCs w:val="20"/>
        </w:rPr>
        <w:t xml:space="preserve"> in a closed sitting. In case of equal </w:t>
      </w:r>
      <w:proofErr w:type="gramStart"/>
      <w:r w:rsidRPr="00F040F1">
        <w:rPr>
          <w:rFonts w:ascii="Calibri Light" w:hAnsi="Calibri Light" w:cs="Calibri Light"/>
          <w:szCs w:val="20"/>
        </w:rPr>
        <w:t>votes</w:t>
      </w:r>
      <w:proofErr w:type="gramEnd"/>
      <w:r w:rsidRPr="00F040F1">
        <w:rPr>
          <w:rFonts w:ascii="Calibri Light" w:hAnsi="Calibri Light" w:cs="Calibri Light"/>
          <w:szCs w:val="20"/>
        </w:rPr>
        <w:t xml:space="preserve"> the committee chair will decide. </w:t>
      </w:r>
      <w:proofErr w:type="gramStart"/>
      <w:r w:rsidRPr="00F040F1">
        <w:rPr>
          <w:rFonts w:ascii="Calibri Light" w:hAnsi="Calibri Light" w:cs="Calibri Light"/>
          <w:szCs w:val="20"/>
        </w:rPr>
        <w:t>State exam results will be announced by the committee chair</w:t>
      </w:r>
      <w:proofErr w:type="gramEnd"/>
      <w:r w:rsidRPr="00F040F1">
        <w:rPr>
          <w:rFonts w:ascii="Calibri Light" w:hAnsi="Calibri Light" w:cs="Calibri Light"/>
          <w:szCs w:val="20"/>
        </w:rPr>
        <w:t xml:space="preserve">. A note of the state exam </w:t>
      </w:r>
      <w:proofErr w:type="gramStart"/>
      <w:r w:rsidRPr="00F040F1">
        <w:rPr>
          <w:rFonts w:ascii="Calibri Light" w:hAnsi="Calibri Light" w:cs="Calibri Light"/>
          <w:szCs w:val="20"/>
        </w:rPr>
        <w:t>will be taken</w:t>
      </w:r>
      <w:proofErr w:type="gramEnd"/>
      <w:r w:rsidRPr="00F040F1">
        <w:rPr>
          <w:rFonts w:ascii="Calibri Light" w:hAnsi="Calibri Light" w:cs="Calibri Light"/>
          <w:szCs w:val="20"/>
        </w:rPr>
        <w:t xml:space="preserve">. The marking scheme contains the diploma grade and the grades awarded for the different parts of the state exam. </w:t>
      </w:r>
    </w:p>
    <w:p w:rsidR="00955D50" w:rsidRPr="00F040F1" w:rsidRDefault="00955D50" w:rsidP="00955D50">
      <w:pPr>
        <w:rPr>
          <w:rFonts w:ascii="Calibri Light" w:hAnsi="Calibri Light" w:cs="Calibri Light"/>
          <w:szCs w:val="20"/>
        </w:rPr>
      </w:pPr>
    </w:p>
    <w:p w:rsidR="00955D50" w:rsidRPr="00F040F1" w:rsidRDefault="00955D50" w:rsidP="00955D50">
      <w:pPr>
        <w:rPr>
          <w:rFonts w:ascii="Calibri Light" w:hAnsi="Calibri Light" w:cs="Calibri Light"/>
          <w:i/>
          <w:szCs w:val="20"/>
        </w:rPr>
      </w:pPr>
      <w:r w:rsidRPr="00F040F1">
        <w:rPr>
          <w:rFonts w:ascii="Calibri Light" w:hAnsi="Calibri Light" w:cs="Calibri Light"/>
          <w:i/>
          <w:szCs w:val="20"/>
        </w:rPr>
        <w:t>Improving failed state exam</w:t>
      </w:r>
    </w:p>
    <w:p w:rsidR="00955D50" w:rsidRPr="00F040F1" w:rsidRDefault="00955D50" w:rsidP="00955D50">
      <w:pPr>
        <w:rPr>
          <w:rFonts w:ascii="Calibri Light" w:hAnsi="Calibri Light" w:cs="Calibri Light"/>
          <w:szCs w:val="20"/>
        </w:rPr>
      </w:pPr>
      <w:r w:rsidRPr="00F040F1">
        <w:rPr>
          <w:rFonts w:ascii="Calibri Light" w:hAnsi="Calibri Light" w:cs="Calibri Light"/>
          <w:szCs w:val="20"/>
        </w:rPr>
        <w:t xml:space="preserve">In order to obtain diploma state exam has be retaken - according to Rules and Regulations of the University - if any of its part is a fail. The ensuing state exam period is the soonest that the re-sit </w:t>
      </w:r>
      <w:proofErr w:type="gramStart"/>
      <w:r w:rsidRPr="00F040F1">
        <w:rPr>
          <w:rFonts w:ascii="Calibri Light" w:hAnsi="Calibri Light" w:cs="Calibri Light"/>
          <w:szCs w:val="20"/>
        </w:rPr>
        <w:t>is allowed</w:t>
      </w:r>
      <w:proofErr w:type="gramEnd"/>
      <w:r w:rsidRPr="00F040F1">
        <w:rPr>
          <w:rFonts w:ascii="Calibri Light" w:hAnsi="Calibri Light" w:cs="Calibri Light"/>
          <w:szCs w:val="20"/>
        </w:rPr>
        <w:t xml:space="preserve">. </w:t>
      </w:r>
    </w:p>
    <w:p w:rsidR="00955D50" w:rsidRPr="00F040F1" w:rsidRDefault="00955D50" w:rsidP="00955D50">
      <w:pPr>
        <w:rPr>
          <w:rFonts w:ascii="Calibri Light" w:hAnsi="Calibri Light" w:cs="Calibri Light"/>
          <w:szCs w:val="20"/>
        </w:rPr>
      </w:pPr>
    </w:p>
    <w:p w:rsidR="00955D50" w:rsidRPr="00F040F1" w:rsidRDefault="00955D50" w:rsidP="00955D50">
      <w:pPr>
        <w:rPr>
          <w:rFonts w:ascii="Calibri Light" w:hAnsi="Calibri Light" w:cs="Calibri Light"/>
          <w:i/>
          <w:szCs w:val="20"/>
        </w:rPr>
      </w:pPr>
      <w:r w:rsidRPr="00F040F1">
        <w:rPr>
          <w:rFonts w:ascii="Calibri Light" w:hAnsi="Calibri Light" w:cs="Calibri Light"/>
          <w:i/>
          <w:szCs w:val="20"/>
        </w:rPr>
        <w:t>State exam board</w:t>
      </w:r>
    </w:p>
    <w:p w:rsidR="00161D6B" w:rsidRPr="00F040F1" w:rsidRDefault="00955D50" w:rsidP="00955D50">
      <w:pPr>
        <w:rPr>
          <w:rFonts w:ascii="Calibri Light" w:hAnsi="Calibri Light" w:cs="Calibri Light"/>
          <w:szCs w:val="20"/>
        </w:rPr>
      </w:pPr>
      <w:r w:rsidRPr="00F040F1">
        <w:rPr>
          <w:rFonts w:ascii="Calibri Light" w:hAnsi="Calibri Light" w:cs="Calibri Light"/>
          <w:szCs w:val="20"/>
        </w:rPr>
        <w:t xml:space="preserve">Committee chair </w:t>
      </w:r>
      <w:proofErr w:type="gramStart"/>
      <w:r w:rsidRPr="00F040F1">
        <w:rPr>
          <w:rFonts w:ascii="Calibri Light" w:hAnsi="Calibri Light" w:cs="Calibri Light"/>
          <w:szCs w:val="20"/>
        </w:rPr>
        <w:t>is called upon and mandated by the dean with the consent of the Faculty Council</w:t>
      </w:r>
      <w:proofErr w:type="gramEnd"/>
      <w:r w:rsidRPr="00F040F1">
        <w:rPr>
          <w:rFonts w:ascii="Calibri Light" w:hAnsi="Calibri Light" w:cs="Calibri Light"/>
          <w:szCs w:val="20"/>
        </w:rPr>
        <w:t xml:space="preserve">. He/she </w:t>
      </w:r>
      <w:proofErr w:type="gramStart"/>
      <w:r w:rsidRPr="00F040F1">
        <w:rPr>
          <w:rFonts w:ascii="Calibri Light" w:hAnsi="Calibri Light" w:cs="Calibri Light"/>
          <w:szCs w:val="20"/>
        </w:rPr>
        <w:t>is selected</w:t>
      </w:r>
      <w:proofErr w:type="gramEnd"/>
      <w:r w:rsidRPr="00F040F1">
        <w:rPr>
          <w:rFonts w:ascii="Calibri Light" w:hAnsi="Calibri Light" w:cs="Calibri Light"/>
          <w:szCs w:val="20"/>
        </w:rPr>
        <w:t xml:space="preserve"> from the acknowledged and well-known external experts of the professional field or the professors of the University. The state exam board consists of – besides the </w:t>
      </w:r>
      <w:proofErr w:type="gramStart"/>
      <w:r w:rsidRPr="00F040F1">
        <w:rPr>
          <w:rFonts w:ascii="Calibri Light" w:hAnsi="Calibri Light" w:cs="Calibri Light"/>
          <w:szCs w:val="20"/>
        </w:rPr>
        <w:t>chairman</w:t>
      </w:r>
      <w:proofErr w:type="gramEnd"/>
      <w:r w:rsidRPr="00F040F1">
        <w:rPr>
          <w:rFonts w:ascii="Calibri Light" w:hAnsi="Calibri Light" w:cs="Calibri Light"/>
          <w:szCs w:val="20"/>
        </w:rPr>
        <w:t xml:space="preserve"> – at least two members and the required number of examiners. The mandate of the state exam board is limited to a year. Students </w:t>
      </w:r>
      <w:proofErr w:type="gramStart"/>
      <w:r w:rsidRPr="00F040F1">
        <w:rPr>
          <w:rFonts w:ascii="Calibri Light" w:hAnsi="Calibri Light" w:cs="Calibri Light"/>
          <w:szCs w:val="20"/>
        </w:rPr>
        <w:t>are allocated</w:t>
      </w:r>
      <w:proofErr w:type="gramEnd"/>
      <w:r w:rsidRPr="00F040F1">
        <w:rPr>
          <w:rFonts w:ascii="Calibri Light" w:hAnsi="Calibri Light" w:cs="Calibri Light"/>
          <w:szCs w:val="20"/>
        </w:rPr>
        <w:t xml:space="preserve"> to different examination boards by the department.</w:t>
      </w:r>
    </w:p>
    <w:p w:rsidR="00955D50" w:rsidRPr="00F040F1" w:rsidRDefault="00955D50" w:rsidP="00955D50">
      <w:pPr>
        <w:rPr>
          <w:rFonts w:ascii="Calibri Light" w:hAnsi="Calibri Light" w:cs="Calibri Light"/>
          <w:szCs w:val="20"/>
        </w:rPr>
      </w:pPr>
    </w:p>
    <w:p w:rsidR="00955D50" w:rsidRPr="00F040F1" w:rsidRDefault="00955D50" w:rsidP="00F040F1">
      <w:pPr>
        <w:pStyle w:val="Cmsor3"/>
        <w:rPr>
          <w:rFonts w:ascii="Calibri Light" w:hAnsi="Calibri Light" w:cs="Calibri Light"/>
          <w:szCs w:val="20"/>
        </w:rPr>
      </w:pPr>
      <w:bookmarkStart w:id="6" w:name="_Toc520280938"/>
      <w:r w:rsidRPr="00F040F1">
        <w:rPr>
          <w:rFonts w:ascii="Calibri Light" w:hAnsi="Calibri Light" w:cs="Calibri Light"/>
          <w:szCs w:val="20"/>
        </w:rPr>
        <w:lastRenderedPageBreak/>
        <w:t>Diploma</w:t>
      </w:r>
      <w:bookmarkEnd w:id="6"/>
    </w:p>
    <w:p w:rsidR="00955D50" w:rsidRPr="00F040F1" w:rsidRDefault="00955D50" w:rsidP="00955D50">
      <w:pPr>
        <w:jc w:val="center"/>
        <w:rPr>
          <w:rFonts w:ascii="Calibri Light" w:hAnsi="Calibri Light" w:cs="Calibri Light"/>
          <w:szCs w:val="20"/>
        </w:rPr>
      </w:pPr>
    </w:p>
    <w:p w:rsidR="00955D50" w:rsidRPr="00F040F1" w:rsidRDefault="00955D50" w:rsidP="00955D50">
      <w:pPr>
        <w:rPr>
          <w:rFonts w:ascii="Calibri Light" w:hAnsi="Calibri Light" w:cs="Calibri Light"/>
          <w:szCs w:val="20"/>
        </w:rPr>
      </w:pPr>
      <w:r w:rsidRPr="00F040F1">
        <w:rPr>
          <w:rFonts w:ascii="Calibri Light" w:hAnsi="Calibri Light" w:cs="Calibri Light"/>
          <w:szCs w:val="20"/>
        </w:rPr>
        <w:t xml:space="preserve">Within 30 days of the successful state </w:t>
      </w:r>
      <w:proofErr w:type="gramStart"/>
      <w:r w:rsidRPr="00F040F1">
        <w:rPr>
          <w:rFonts w:ascii="Calibri Light" w:hAnsi="Calibri Light" w:cs="Calibri Light"/>
          <w:szCs w:val="20"/>
        </w:rPr>
        <w:t>exam</w:t>
      </w:r>
      <w:proofErr w:type="gramEnd"/>
      <w:r w:rsidRPr="00F040F1">
        <w:rPr>
          <w:rFonts w:ascii="Calibri Light" w:hAnsi="Calibri Light" w:cs="Calibri Light"/>
          <w:szCs w:val="20"/>
        </w:rPr>
        <w:t xml:space="preserve"> the diploma is issued and given out by the Faculty at the </w:t>
      </w:r>
      <w:proofErr w:type="spellStart"/>
      <w:r w:rsidRPr="00F040F1">
        <w:rPr>
          <w:rFonts w:ascii="Calibri Light" w:hAnsi="Calibri Light" w:cs="Calibri Light"/>
          <w:szCs w:val="20"/>
        </w:rPr>
        <w:t>graduand’s</w:t>
      </w:r>
      <w:proofErr w:type="spellEnd"/>
      <w:r w:rsidRPr="00F040F1">
        <w:rPr>
          <w:rFonts w:ascii="Calibri Light" w:hAnsi="Calibri Light" w:cs="Calibri Light"/>
          <w:szCs w:val="20"/>
        </w:rPr>
        <w:t xml:space="preserve"> special request. Otherwise, the diploma </w:t>
      </w:r>
      <w:proofErr w:type="gramStart"/>
      <w:r w:rsidRPr="00F040F1">
        <w:rPr>
          <w:rFonts w:ascii="Calibri Light" w:hAnsi="Calibri Light" w:cs="Calibri Light"/>
          <w:szCs w:val="20"/>
        </w:rPr>
        <w:t>will be awarded</w:t>
      </w:r>
      <w:proofErr w:type="gramEnd"/>
      <w:r w:rsidRPr="00F040F1">
        <w:rPr>
          <w:rFonts w:ascii="Calibri Light" w:hAnsi="Calibri Light" w:cs="Calibri Light"/>
          <w:szCs w:val="20"/>
        </w:rPr>
        <w:t xml:space="preserve"> to him/her at the graduation ceremony of the Faculty.</w:t>
      </w:r>
    </w:p>
    <w:p w:rsidR="00955D50" w:rsidRPr="00F040F1" w:rsidRDefault="00955D50" w:rsidP="00955D50">
      <w:pPr>
        <w:rPr>
          <w:rFonts w:ascii="Calibri Light" w:hAnsi="Calibri Light" w:cs="Calibri Light"/>
          <w:szCs w:val="20"/>
        </w:rPr>
      </w:pPr>
      <w:r w:rsidRPr="00F040F1">
        <w:rPr>
          <w:rFonts w:ascii="Calibri Light" w:hAnsi="Calibri Light" w:cs="Calibri Light"/>
          <w:szCs w:val="20"/>
        </w:rPr>
        <w:t xml:space="preserve">The diploma is an official document decorated with the coat of arms of </w:t>
      </w:r>
      <w:proofErr w:type="gramStart"/>
      <w:r w:rsidRPr="00F040F1">
        <w:rPr>
          <w:rFonts w:ascii="Calibri Light" w:hAnsi="Calibri Light" w:cs="Calibri Light"/>
          <w:szCs w:val="20"/>
        </w:rPr>
        <w:t>Hungary which</w:t>
      </w:r>
      <w:proofErr w:type="gramEnd"/>
      <w:r w:rsidRPr="00F040F1">
        <w:rPr>
          <w:rFonts w:ascii="Calibri Light" w:hAnsi="Calibri Light" w:cs="Calibri Light"/>
          <w:szCs w:val="20"/>
        </w:rPr>
        <w:t xml:space="preserve"> verifies the successful completion of studies in the Engineering Management master’s program. The diploma contains the following data: name of HEI (higher education institution); institutional identification number; serial number of diploma; name of diploma holder; date and place of his/her birth; level of qualification; training program; specialization; mode of attendance; place, day, month and year issued. Furthermore, it has to contain the </w:t>
      </w:r>
      <w:proofErr w:type="gramStart"/>
      <w:r w:rsidRPr="00F040F1">
        <w:rPr>
          <w:rFonts w:ascii="Calibri Light" w:hAnsi="Calibri Light" w:cs="Calibri Light"/>
          <w:szCs w:val="20"/>
        </w:rPr>
        <w:t>rector’s</w:t>
      </w:r>
      <w:proofErr w:type="gramEnd"/>
      <w:r w:rsidRPr="00F040F1">
        <w:rPr>
          <w:rFonts w:ascii="Calibri Light" w:hAnsi="Calibri Light" w:cs="Calibri Light"/>
          <w:szCs w:val="20"/>
        </w:rPr>
        <w:t xml:space="preserve"> (or vice-rector’s) original signature and the seal of HEI. The University keeps a record of the diplomas issued.</w:t>
      </w:r>
    </w:p>
    <w:p w:rsidR="00955D50" w:rsidRPr="00F040F1" w:rsidRDefault="00955D50" w:rsidP="00955D50">
      <w:pPr>
        <w:rPr>
          <w:rFonts w:ascii="Calibri Light" w:hAnsi="Calibri Light" w:cs="Calibri Light"/>
          <w:szCs w:val="20"/>
        </w:rPr>
      </w:pPr>
      <w:r w:rsidRPr="00F040F1">
        <w:rPr>
          <w:rFonts w:ascii="Calibri Light" w:hAnsi="Calibri Light" w:cs="Calibri Light"/>
          <w:szCs w:val="20"/>
        </w:rPr>
        <w:t xml:space="preserve">At the </w:t>
      </w:r>
      <w:proofErr w:type="spellStart"/>
      <w:r w:rsidRPr="00F040F1">
        <w:rPr>
          <w:rFonts w:ascii="Calibri Light" w:hAnsi="Calibri Light" w:cs="Calibri Light"/>
          <w:szCs w:val="20"/>
        </w:rPr>
        <w:t>graduand’s</w:t>
      </w:r>
      <w:proofErr w:type="spellEnd"/>
      <w:r w:rsidRPr="00F040F1">
        <w:rPr>
          <w:rFonts w:ascii="Calibri Light" w:hAnsi="Calibri Light" w:cs="Calibri Light"/>
          <w:szCs w:val="20"/>
        </w:rPr>
        <w:t xml:space="preserve"> special request a certificate on the completion of studies </w:t>
      </w:r>
      <w:proofErr w:type="gramStart"/>
      <w:r w:rsidRPr="00F040F1">
        <w:rPr>
          <w:rFonts w:ascii="Calibri Light" w:hAnsi="Calibri Light" w:cs="Calibri Light"/>
          <w:szCs w:val="20"/>
        </w:rPr>
        <w:t>is issued</w:t>
      </w:r>
      <w:proofErr w:type="gramEnd"/>
      <w:r w:rsidRPr="00F040F1">
        <w:rPr>
          <w:rFonts w:ascii="Calibri Light" w:hAnsi="Calibri Light" w:cs="Calibri Light"/>
          <w:szCs w:val="20"/>
        </w:rPr>
        <w:t xml:space="preserve">. The document does not contain any reference to </w:t>
      </w:r>
      <w:proofErr w:type="gramStart"/>
      <w:r w:rsidRPr="00F040F1">
        <w:rPr>
          <w:rFonts w:ascii="Calibri Light" w:hAnsi="Calibri Light" w:cs="Calibri Light"/>
          <w:szCs w:val="20"/>
        </w:rPr>
        <w:t>qualification,</w:t>
      </w:r>
      <w:proofErr w:type="gramEnd"/>
      <w:r w:rsidRPr="00F040F1">
        <w:rPr>
          <w:rFonts w:ascii="Calibri Light" w:hAnsi="Calibri Light" w:cs="Calibri Light"/>
          <w:szCs w:val="20"/>
        </w:rPr>
        <w:t xml:space="preserve"> it merely proves that the candidate has taken a successful state exam. The Faculty keeps a record of the certificates issued.</w:t>
      </w:r>
    </w:p>
    <w:p w:rsidR="00955D50" w:rsidRPr="00F040F1" w:rsidRDefault="00955D50" w:rsidP="00955D50">
      <w:pPr>
        <w:rPr>
          <w:rFonts w:ascii="Calibri Light" w:hAnsi="Calibri Light" w:cs="Calibri Light"/>
          <w:szCs w:val="20"/>
        </w:rPr>
      </w:pPr>
    </w:p>
    <w:p w:rsidR="00955D50" w:rsidRPr="00F040F1" w:rsidRDefault="00955D50" w:rsidP="00955D50">
      <w:pPr>
        <w:rPr>
          <w:rFonts w:ascii="Calibri Light" w:hAnsi="Calibri Light" w:cs="Calibri Light"/>
          <w:i/>
          <w:szCs w:val="20"/>
        </w:rPr>
      </w:pPr>
      <w:r w:rsidRPr="00F040F1">
        <w:rPr>
          <w:rFonts w:ascii="Calibri Light" w:hAnsi="Calibri Light" w:cs="Calibri Light"/>
          <w:i/>
          <w:szCs w:val="20"/>
        </w:rPr>
        <w:t>Calculating diploma grade</w:t>
      </w:r>
    </w:p>
    <w:p w:rsidR="00955D50" w:rsidRPr="00F040F1" w:rsidRDefault="00955D50" w:rsidP="00955D50">
      <w:pPr>
        <w:rPr>
          <w:rFonts w:ascii="Calibri Light" w:hAnsi="Calibri Light" w:cs="Calibri Light"/>
          <w:szCs w:val="20"/>
        </w:rPr>
      </w:pPr>
      <w:r w:rsidRPr="00F040F1">
        <w:rPr>
          <w:rFonts w:ascii="Calibri Light" w:hAnsi="Calibri Light" w:cs="Calibri Light"/>
          <w:szCs w:val="20"/>
        </w:rPr>
        <w:t>Grade</w:t>
      </w:r>
      <w:proofErr w:type="gramStart"/>
      <w:r w:rsidRPr="00F040F1">
        <w:rPr>
          <w:rFonts w:ascii="Calibri Light" w:hAnsi="Calibri Light" w:cs="Calibri Light"/>
          <w:szCs w:val="20"/>
        </w:rPr>
        <w:t>=(</w:t>
      </w:r>
      <w:proofErr w:type="gramEnd"/>
      <w:r w:rsidRPr="00F040F1">
        <w:rPr>
          <w:rFonts w:ascii="Calibri Light" w:hAnsi="Calibri Light" w:cs="Calibri Light"/>
          <w:szCs w:val="20"/>
        </w:rPr>
        <w:t>A+B)/2, where</w:t>
      </w:r>
    </w:p>
    <w:p w:rsidR="00955D50" w:rsidRPr="00F040F1" w:rsidRDefault="00955D50" w:rsidP="00955D50">
      <w:pPr>
        <w:rPr>
          <w:rFonts w:ascii="Calibri Light" w:hAnsi="Calibri Light" w:cs="Calibri Light"/>
          <w:szCs w:val="20"/>
        </w:rPr>
      </w:pPr>
      <w:r w:rsidRPr="00F040F1">
        <w:rPr>
          <w:rFonts w:ascii="Calibri Light" w:hAnsi="Calibri Light" w:cs="Calibri Light"/>
          <w:szCs w:val="20"/>
        </w:rPr>
        <w:tab/>
        <w:t>A: Average of the grades of the subjects of the state exam</w:t>
      </w:r>
    </w:p>
    <w:p w:rsidR="00955D50" w:rsidRPr="00F040F1" w:rsidRDefault="00955D50" w:rsidP="00955D50">
      <w:pPr>
        <w:ind w:firstLine="708"/>
        <w:rPr>
          <w:rFonts w:ascii="Calibri Light" w:hAnsi="Calibri Light" w:cs="Calibri Light"/>
          <w:szCs w:val="20"/>
        </w:rPr>
      </w:pPr>
      <w:r w:rsidRPr="00F040F1">
        <w:rPr>
          <w:rFonts w:ascii="Calibri Light" w:hAnsi="Calibri Light" w:cs="Calibri Light"/>
          <w:szCs w:val="20"/>
        </w:rPr>
        <w:t>B: Grade awarded for defending thesis</w:t>
      </w:r>
    </w:p>
    <w:p w:rsidR="00955D50" w:rsidRPr="00F040F1" w:rsidRDefault="00955D50" w:rsidP="00955D50">
      <w:pPr>
        <w:rPr>
          <w:rFonts w:ascii="Calibri Light" w:hAnsi="Calibri Light" w:cs="Calibri Light"/>
          <w:szCs w:val="20"/>
        </w:rPr>
      </w:pPr>
    </w:p>
    <w:p w:rsidR="00955D50" w:rsidRPr="00F040F1" w:rsidRDefault="00955D50" w:rsidP="00955D50">
      <w:pPr>
        <w:rPr>
          <w:rFonts w:ascii="Calibri Light" w:hAnsi="Calibri Light" w:cs="Calibri Light"/>
          <w:i/>
          <w:szCs w:val="20"/>
        </w:rPr>
      </w:pPr>
      <w:r w:rsidRPr="00F040F1">
        <w:rPr>
          <w:rFonts w:ascii="Calibri Light" w:hAnsi="Calibri Light" w:cs="Calibri Light"/>
          <w:i/>
          <w:szCs w:val="20"/>
        </w:rPr>
        <w:t>Classification of the award:</w:t>
      </w:r>
    </w:p>
    <w:p w:rsidR="00955D50" w:rsidRPr="00F040F1" w:rsidRDefault="00FE4BDD" w:rsidP="00955D50">
      <w:pPr>
        <w:ind w:left="709"/>
        <w:rPr>
          <w:rFonts w:ascii="Calibri Light" w:hAnsi="Calibri Light" w:cs="Calibri Light"/>
          <w:szCs w:val="20"/>
        </w:rPr>
      </w:pPr>
      <w:r w:rsidRPr="00F040F1">
        <w:rPr>
          <w:rFonts w:ascii="Calibri Light" w:hAnsi="Calibri Light" w:cs="Calibri Light"/>
          <w:szCs w:val="20"/>
        </w:rPr>
        <w:t>With honours</w:t>
      </w:r>
      <w:r w:rsidR="00955D50" w:rsidRPr="00F040F1">
        <w:rPr>
          <w:rFonts w:ascii="Calibri Light" w:hAnsi="Calibri Light" w:cs="Calibri Light"/>
          <w:szCs w:val="20"/>
        </w:rPr>
        <w:t xml:space="preserve"> </w:t>
      </w:r>
      <w:r w:rsidR="00955D50" w:rsidRPr="00F040F1">
        <w:rPr>
          <w:rFonts w:ascii="Calibri Light" w:hAnsi="Calibri Light" w:cs="Calibri Light"/>
          <w:szCs w:val="20"/>
        </w:rPr>
        <w:tab/>
        <w:t>4</w:t>
      </w:r>
      <w:proofErr w:type="gramStart"/>
      <w:r w:rsidR="00955D50" w:rsidRPr="00F040F1">
        <w:rPr>
          <w:rFonts w:ascii="Calibri Light" w:hAnsi="Calibri Light" w:cs="Calibri Light"/>
          <w:szCs w:val="20"/>
        </w:rPr>
        <w:t>,81</w:t>
      </w:r>
      <w:proofErr w:type="gramEnd"/>
      <w:r w:rsidR="00955D50" w:rsidRPr="00F040F1">
        <w:rPr>
          <w:rFonts w:ascii="Calibri Light" w:hAnsi="Calibri Light" w:cs="Calibri Light"/>
          <w:szCs w:val="20"/>
        </w:rPr>
        <w:t xml:space="preserve"> – 5,00</w:t>
      </w:r>
    </w:p>
    <w:p w:rsidR="00955D50" w:rsidRPr="00F040F1" w:rsidRDefault="00FE4BDD" w:rsidP="00955D50">
      <w:pPr>
        <w:ind w:left="709"/>
        <w:rPr>
          <w:rFonts w:ascii="Calibri Light" w:hAnsi="Calibri Light" w:cs="Calibri Light"/>
          <w:szCs w:val="20"/>
        </w:rPr>
      </w:pPr>
      <w:r w:rsidRPr="00F040F1">
        <w:rPr>
          <w:rFonts w:ascii="Calibri Light" w:hAnsi="Calibri Light" w:cs="Calibri Light"/>
          <w:szCs w:val="20"/>
        </w:rPr>
        <w:t>Excellent</w:t>
      </w:r>
      <w:r w:rsidR="00955D50" w:rsidRPr="00F040F1">
        <w:rPr>
          <w:rFonts w:ascii="Calibri Light" w:hAnsi="Calibri Light" w:cs="Calibri Light"/>
          <w:szCs w:val="20"/>
        </w:rPr>
        <w:t xml:space="preserve"> </w:t>
      </w:r>
      <w:r w:rsidR="00955D50" w:rsidRPr="00F040F1">
        <w:rPr>
          <w:rFonts w:ascii="Calibri Light" w:hAnsi="Calibri Light" w:cs="Calibri Light"/>
          <w:szCs w:val="20"/>
        </w:rPr>
        <w:tab/>
        <w:t>4</w:t>
      </w:r>
      <w:proofErr w:type="gramStart"/>
      <w:r w:rsidR="00955D50" w:rsidRPr="00F040F1">
        <w:rPr>
          <w:rFonts w:ascii="Calibri Light" w:hAnsi="Calibri Light" w:cs="Calibri Light"/>
          <w:szCs w:val="20"/>
        </w:rPr>
        <w:t>,51</w:t>
      </w:r>
      <w:proofErr w:type="gramEnd"/>
      <w:r w:rsidR="00955D50" w:rsidRPr="00F040F1">
        <w:rPr>
          <w:rFonts w:ascii="Calibri Light" w:hAnsi="Calibri Light" w:cs="Calibri Light"/>
          <w:szCs w:val="20"/>
        </w:rPr>
        <w:t xml:space="preserve"> – 4,80</w:t>
      </w:r>
    </w:p>
    <w:p w:rsidR="00955D50" w:rsidRPr="00F040F1" w:rsidRDefault="00955D50" w:rsidP="00955D50">
      <w:pPr>
        <w:ind w:left="709"/>
        <w:rPr>
          <w:rFonts w:ascii="Calibri Light" w:hAnsi="Calibri Light" w:cs="Calibri Light"/>
          <w:szCs w:val="20"/>
        </w:rPr>
      </w:pPr>
      <w:r w:rsidRPr="00F040F1">
        <w:rPr>
          <w:rFonts w:ascii="Calibri Light" w:hAnsi="Calibri Light" w:cs="Calibri Light"/>
          <w:szCs w:val="20"/>
        </w:rPr>
        <w:t>Good</w:t>
      </w:r>
      <w:r w:rsidRPr="00F040F1">
        <w:rPr>
          <w:rFonts w:ascii="Calibri Light" w:hAnsi="Calibri Light" w:cs="Calibri Light"/>
          <w:szCs w:val="20"/>
        </w:rPr>
        <w:tab/>
      </w:r>
      <w:r w:rsidRPr="00F040F1">
        <w:rPr>
          <w:rFonts w:ascii="Calibri Light" w:hAnsi="Calibri Light" w:cs="Calibri Light"/>
          <w:szCs w:val="20"/>
        </w:rPr>
        <w:tab/>
        <w:t>3</w:t>
      </w:r>
      <w:proofErr w:type="gramStart"/>
      <w:r w:rsidRPr="00F040F1">
        <w:rPr>
          <w:rFonts w:ascii="Calibri Light" w:hAnsi="Calibri Light" w:cs="Calibri Light"/>
          <w:szCs w:val="20"/>
        </w:rPr>
        <w:t>,51</w:t>
      </w:r>
      <w:proofErr w:type="gramEnd"/>
      <w:r w:rsidRPr="00F040F1">
        <w:rPr>
          <w:rFonts w:ascii="Calibri Light" w:hAnsi="Calibri Light" w:cs="Calibri Light"/>
          <w:szCs w:val="20"/>
        </w:rPr>
        <w:t xml:space="preserve"> – 4,50</w:t>
      </w:r>
    </w:p>
    <w:p w:rsidR="00955D50" w:rsidRPr="00F040F1" w:rsidRDefault="00955D50" w:rsidP="00955D50">
      <w:pPr>
        <w:ind w:left="709"/>
        <w:rPr>
          <w:rFonts w:ascii="Calibri Light" w:hAnsi="Calibri Light" w:cs="Calibri Light"/>
          <w:szCs w:val="20"/>
        </w:rPr>
      </w:pPr>
      <w:r w:rsidRPr="00F040F1">
        <w:rPr>
          <w:rFonts w:ascii="Calibri Light" w:hAnsi="Calibri Light" w:cs="Calibri Light"/>
          <w:szCs w:val="20"/>
        </w:rPr>
        <w:t xml:space="preserve">Satisfactory </w:t>
      </w:r>
      <w:r w:rsidRPr="00F040F1">
        <w:rPr>
          <w:rFonts w:ascii="Calibri Light" w:hAnsi="Calibri Light" w:cs="Calibri Light"/>
          <w:szCs w:val="20"/>
        </w:rPr>
        <w:tab/>
        <w:t>2</w:t>
      </w:r>
      <w:proofErr w:type="gramStart"/>
      <w:r w:rsidRPr="00F040F1">
        <w:rPr>
          <w:rFonts w:ascii="Calibri Light" w:hAnsi="Calibri Light" w:cs="Calibri Light"/>
          <w:szCs w:val="20"/>
        </w:rPr>
        <w:t>,51</w:t>
      </w:r>
      <w:proofErr w:type="gramEnd"/>
      <w:r w:rsidRPr="00F040F1">
        <w:rPr>
          <w:rFonts w:ascii="Calibri Light" w:hAnsi="Calibri Light" w:cs="Calibri Light"/>
          <w:szCs w:val="20"/>
        </w:rPr>
        <w:t xml:space="preserve"> – 3,50</w:t>
      </w:r>
    </w:p>
    <w:p w:rsidR="00955D50" w:rsidRPr="00F040F1" w:rsidRDefault="00955D50" w:rsidP="00955D50">
      <w:pPr>
        <w:ind w:left="709"/>
        <w:rPr>
          <w:rFonts w:ascii="Calibri Light" w:hAnsi="Calibri Light" w:cs="Calibri Light"/>
          <w:szCs w:val="20"/>
        </w:rPr>
      </w:pPr>
      <w:r w:rsidRPr="00F040F1">
        <w:rPr>
          <w:rFonts w:ascii="Calibri Light" w:hAnsi="Calibri Light" w:cs="Calibri Light"/>
          <w:szCs w:val="20"/>
        </w:rPr>
        <w:t xml:space="preserve">Pass </w:t>
      </w:r>
      <w:r w:rsidRPr="00F040F1">
        <w:rPr>
          <w:rFonts w:ascii="Calibri Light" w:hAnsi="Calibri Light" w:cs="Calibri Light"/>
          <w:szCs w:val="20"/>
        </w:rPr>
        <w:tab/>
      </w:r>
      <w:r w:rsidRPr="00F040F1">
        <w:rPr>
          <w:rFonts w:ascii="Calibri Light" w:hAnsi="Calibri Light" w:cs="Calibri Light"/>
          <w:szCs w:val="20"/>
        </w:rPr>
        <w:tab/>
        <w:t>2</w:t>
      </w:r>
      <w:proofErr w:type="gramStart"/>
      <w:r w:rsidRPr="00F040F1">
        <w:rPr>
          <w:rFonts w:ascii="Calibri Light" w:hAnsi="Calibri Light" w:cs="Calibri Light"/>
          <w:szCs w:val="20"/>
        </w:rPr>
        <w:t>,00</w:t>
      </w:r>
      <w:proofErr w:type="gramEnd"/>
      <w:r w:rsidRPr="00F040F1">
        <w:rPr>
          <w:rFonts w:ascii="Calibri Light" w:hAnsi="Calibri Light" w:cs="Calibri Light"/>
          <w:szCs w:val="20"/>
        </w:rPr>
        <w:t xml:space="preserve"> – 2,50</w:t>
      </w:r>
    </w:p>
    <w:p w:rsidR="00955D50" w:rsidRPr="00F040F1" w:rsidRDefault="00955D50" w:rsidP="00955D50">
      <w:pPr>
        <w:rPr>
          <w:rFonts w:ascii="Calibri Light" w:hAnsi="Calibri Light" w:cs="Calibri Light"/>
          <w:szCs w:val="20"/>
        </w:rPr>
      </w:pPr>
    </w:p>
    <w:p w:rsidR="00955D50" w:rsidRPr="00F040F1" w:rsidRDefault="00955D50" w:rsidP="00955D50">
      <w:pPr>
        <w:rPr>
          <w:rFonts w:ascii="Calibri Light" w:hAnsi="Calibri Light" w:cs="Calibri Light"/>
          <w:i/>
          <w:szCs w:val="20"/>
        </w:rPr>
      </w:pPr>
      <w:r w:rsidRPr="00F040F1">
        <w:rPr>
          <w:rFonts w:ascii="Calibri Light" w:hAnsi="Calibri Light" w:cs="Calibri Light"/>
          <w:i/>
          <w:szCs w:val="20"/>
        </w:rPr>
        <w:t>Award with Distinction</w:t>
      </w:r>
    </w:p>
    <w:p w:rsidR="00955D50" w:rsidRPr="00F040F1" w:rsidRDefault="00955D50" w:rsidP="00955D50">
      <w:pPr>
        <w:rPr>
          <w:rFonts w:ascii="Calibri Light" w:hAnsi="Calibri Light" w:cs="Calibri Light"/>
          <w:szCs w:val="20"/>
        </w:rPr>
      </w:pPr>
      <w:r w:rsidRPr="00F040F1">
        <w:rPr>
          <w:rFonts w:ascii="Calibri Light" w:hAnsi="Calibri Light" w:cs="Calibri Light"/>
          <w:szCs w:val="20"/>
        </w:rPr>
        <w:t xml:space="preserve">An award with Distinction </w:t>
      </w:r>
      <w:proofErr w:type="gramStart"/>
      <w:r w:rsidRPr="00F040F1">
        <w:rPr>
          <w:rFonts w:ascii="Calibri Light" w:hAnsi="Calibri Light" w:cs="Calibri Light"/>
          <w:szCs w:val="20"/>
        </w:rPr>
        <w:t>is permitted</w:t>
      </w:r>
      <w:proofErr w:type="gramEnd"/>
      <w:r w:rsidRPr="00F040F1">
        <w:rPr>
          <w:rFonts w:ascii="Calibri Light" w:hAnsi="Calibri Light" w:cs="Calibri Light"/>
          <w:szCs w:val="20"/>
        </w:rPr>
        <w:t xml:space="preserve"> where a student obtained grade 5 in all subjects of the state exam. The average of thesis grade, his/her exam grades and mid-semester grades during his/her studies is at least 4</w:t>
      </w:r>
      <w:proofErr w:type="gramStart"/>
      <w:r w:rsidRPr="00F040F1">
        <w:rPr>
          <w:rFonts w:ascii="Calibri Light" w:hAnsi="Calibri Light" w:cs="Calibri Light"/>
          <w:szCs w:val="20"/>
        </w:rPr>
        <w:t>,00</w:t>
      </w:r>
      <w:proofErr w:type="gramEnd"/>
      <w:r w:rsidRPr="00F040F1">
        <w:rPr>
          <w:rFonts w:ascii="Calibri Light" w:hAnsi="Calibri Light" w:cs="Calibri Light"/>
          <w:szCs w:val="20"/>
        </w:rPr>
        <w:t xml:space="preserve">. Moreover, he/she </w:t>
      </w:r>
      <w:proofErr w:type="gramStart"/>
      <w:r w:rsidRPr="00F040F1">
        <w:rPr>
          <w:rFonts w:ascii="Calibri Light" w:hAnsi="Calibri Light" w:cs="Calibri Light"/>
          <w:szCs w:val="20"/>
        </w:rPr>
        <w:t>is not permitted</w:t>
      </w:r>
      <w:proofErr w:type="gramEnd"/>
      <w:r w:rsidRPr="00F040F1">
        <w:rPr>
          <w:rFonts w:ascii="Calibri Light" w:hAnsi="Calibri Light" w:cs="Calibri Light"/>
          <w:szCs w:val="20"/>
        </w:rPr>
        <w:t xml:space="preserve"> to have a grade worse than grade 3 during his/her studies.</w:t>
      </w:r>
    </w:p>
    <w:p w:rsidR="00955D50" w:rsidRPr="00F040F1" w:rsidRDefault="00955D50" w:rsidP="00955D50">
      <w:pPr>
        <w:spacing w:before="0" w:after="160" w:line="259" w:lineRule="auto"/>
        <w:jc w:val="left"/>
        <w:rPr>
          <w:rFonts w:ascii="Calibri Light" w:hAnsi="Calibri Light" w:cs="Calibri Light"/>
          <w:szCs w:val="20"/>
          <w:lang w:eastAsia="ar-SA"/>
        </w:rPr>
      </w:pPr>
    </w:p>
    <w:sectPr w:rsidR="00955D50" w:rsidRPr="00F040F1" w:rsidSect="00161D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21B03"/>
    <w:multiLevelType w:val="hybridMultilevel"/>
    <w:tmpl w:val="54D4C428"/>
    <w:lvl w:ilvl="0" w:tplc="96363F92">
      <w:numFmt w:val="bullet"/>
      <w:lvlText w:val="-"/>
      <w:lvlJc w:val="left"/>
      <w:pPr>
        <w:ind w:left="720" w:hanging="360"/>
      </w:pPr>
      <w:rPr>
        <w:rFonts w:ascii="Times New Roman" w:eastAsia="Calibr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D018A4FE">
      <w:numFmt w:val="bullet"/>
      <w:lvlText w:val="–"/>
      <w:lvlJc w:val="left"/>
      <w:pPr>
        <w:ind w:left="2510" w:hanging="710"/>
      </w:pPr>
      <w:rPr>
        <w:rFonts w:ascii="Calibri Light" w:eastAsiaTheme="minorHAnsi" w:hAnsi="Calibri Light" w:cs="Calibri Light"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725A2A36"/>
    <w:multiLevelType w:val="hybridMultilevel"/>
    <w:tmpl w:val="496AE9AC"/>
    <w:lvl w:ilvl="0" w:tplc="96363F9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96363F92">
      <w:numFmt w:val="bullet"/>
      <w:lvlText w:val="-"/>
      <w:lvlJc w:val="left"/>
      <w:pPr>
        <w:ind w:left="2160" w:hanging="360"/>
      </w:pPr>
      <w:rPr>
        <w:rFonts w:ascii="Times New Roman" w:eastAsia="Calibri" w:hAnsi="Times New Roman" w:cs="Times New Roman"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955D50"/>
    <w:rsid w:val="00161D6B"/>
    <w:rsid w:val="002F6085"/>
    <w:rsid w:val="00320A63"/>
    <w:rsid w:val="00654424"/>
    <w:rsid w:val="008C0CC2"/>
    <w:rsid w:val="00955D50"/>
    <w:rsid w:val="00990C6E"/>
    <w:rsid w:val="00AA2D96"/>
    <w:rsid w:val="00CF69E6"/>
    <w:rsid w:val="00E16A0F"/>
    <w:rsid w:val="00F040F1"/>
    <w:rsid w:val="00F5128E"/>
    <w:rsid w:val="00FE4BD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5CED"/>
  <w15:docId w15:val="{03E341A4-D0FA-4AAD-9FAD-19356BE9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55D50"/>
    <w:pPr>
      <w:spacing w:before="60" w:after="60" w:line="276" w:lineRule="auto"/>
      <w:jc w:val="both"/>
    </w:pPr>
    <w:rPr>
      <w:rFonts w:asciiTheme="majorHAnsi" w:eastAsiaTheme="minorHAnsi" w:hAnsiTheme="majorHAnsi" w:cstheme="majorHAnsi"/>
      <w:szCs w:val="22"/>
      <w:lang w:val="en-GB" w:eastAsia="en-US"/>
    </w:rPr>
  </w:style>
  <w:style w:type="paragraph" w:styleId="Cmsor2">
    <w:name w:val="heading 2"/>
    <w:basedOn w:val="Norml"/>
    <w:next w:val="Norml"/>
    <w:link w:val="Cmsor2Char"/>
    <w:uiPriority w:val="9"/>
    <w:semiHidden/>
    <w:unhideWhenUsed/>
    <w:qFormat/>
    <w:rsid w:val="00955D50"/>
    <w:pPr>
      <w:keepNext/>
      <w:keepLines/>
      <w:spacing w:before="200" w:after="0"/>
      <w:outlineLvl w:val="1"/>
    </w:pPr>
    <w:rPr>
      <w:rFonts w:eastAsiaTheme="majorEastAsia" w:cstheme="majorBidi"/>
      <w:b/>
      <w:bCs/>
      <w:color w:val="4F81BD" w:themeColor="accent1"/>
      <w:sz w:val="26"/>
      <w:szCs w:val="26"/>
    </w:rPr>
  </w:style>
  <w:style w:type="paragraph" w:styleId="Cmsor3">
    <w:name w:val="heading 3"/>
    <w:basedOn w:val="Norml"/>
    <w:next w:val="Norml"/>
    <w:link w:val="Cmsor3Char"/>
    <w:uiPriority w:val="9"/>
    <w:unhideWhenUsed/>
    <w:qFormat/>
    <w:rsid w:val="00955D50"/>
    <w:pPr>
      <w:keepNext/>
      <w:keepLines/>
      <w:spacing w:line="240" w:lineRule="auto"/>
      <w:jc w:val="center"/>
      <w:outlineLvl w:val="2"/>
    </w:pPr>
    <w:rPr>
      <w:rFonts w:eastAsiaTheme="majorEastAsia" w:cstheme="majorBidi"/>
      <w:sz w:val="22"/>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
    <w:rsid w:val="00955D50"/>
    <w:rPr>
      <w:rFonts w:asciiTheme="majorHAnsi" w:eastAsiaTheme="majorEastAsia" w:hAnsiTheme="majorHAnsi" w:cstheme="majorBidi"/>
      <w:sz w:val="22"/>
      <w:szCs w:val="24"/>
      <w:lang w:val="en-GB" w:eastAsia="en-US"/>
    </w:r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A,Listaszerű bekezdés1,List Paragraph1"/>
    <w:basedOn w:val="Norml"/>
    <w:link w:val="ListaszerbekezdsChar"/>
    <w:uiPriority w:val="34"/>
    <w:qFormat/>
    <w:rsid w:val="00955D50"/>
    <w:pPr>
      <w:spacing w:after="0" w:line="240" w:lineRule="auto"/>
      <w:ind w:left="708"/>
    </w:pPr>
    <w:rPr>
      <w:rFonts w:eastAsia="Times New Roman" w:cs="Times New Roman"/>
      <w:szCs w:val="24"/>
      <w:lang w:eastAsia="hu-HU"/>
    </w:r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955D50"/>
    <w:rPr>
      <w:rFonts w:asciiTheme="majorHAnsi" w:eastAsia="Times New Roman" w:hAnsiTheme="majorHAnsi" w:cs="Times New Roman"/>
      <w:szCs w:val="24"/>
      <w:lang w:val="en-GB"/>
    </w:rPr>
  </w:style>
  <w:style w:type="paragraph" w:customStyle="1" w:styleId="szempont1b">
    <w:name w:val="szempont1b"/>
    <w:basedOn w:val="Norml"/>
    <w:next w:val="Norml"/>
    <w:link w:val="szempont1bChar"/>
    <w:rsid w:val="00955D50"/>
    <w:pPr>
      <w:spacing w:after="120" w:line="240" w:lineRule="auto"/>
      <w:ind w:left="454"/>
      <w:contextualSpacing/>
    </w:pPr>
    <w:rPr>
      <w:rFonts w:eastAsia="Times New Roman" w:cs="Times New Roman"/>
      <w:szCs w:val="20"/>
      <w:lang w:eastAsia="hu-HU"/>
    </w:rPr>
  </w:style>
  <w:style w:type="character" w:customStyle="1" w:styleId="szempont1bChar">
    <w:name w:val="szempont1b Char"/>
    <w:link w:val="szempont1b"/>
    <w:rsid w:val="00955D50"/>
    <w:rPr>
      <w:rFonts w:asciiTheme="majorHAnsi" w:eastAsia="Times New Roman" w:hAnsiTheme="majorHAnsi" w:cs="Times New Roman"/>
      <w:lang w:val="en-GB"/>
    </w:rPr>
  </w:style>
  <w:style w:type="character" w:customStyle="1" w:styleId="Cmsor2Char">
    <w:name w:val="Címsor 2 Char"/>
    <w:basedOn w:val="Bekezdsalapbettpusa"/>
    <w:link w:val="Cmsor2"/>
    <w:uiPriority w:val="9"/>
    <w:semiHidden/>
    <w:rsid w:val="00955D50"/>
    <w:rPr>
      <w:rFonts w:asciiTheme="majorHAnsi" w:eastAsiaTheme="majorEastAsia" w:hAnsiTheme="majorHAnsi" w:cstheme="majorBidi"/>
      <w:b/>
      <w:bCs/>
      <w:color w:val="4F81BD" w:themeColor="accent1"/>
      <w:sz w:val="26"/>
      <w:szCs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1065</Words>
  <Characters>7351</Characters>
  <Application>Microsoft Office Word</Application>
  <DocSecurity>0</DocSecurity>
  <Lines>61</Lines>
  <Paragraphs>16</Paragraphs>
  <ScaleCrop>false</ScaleCrop>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2019-02-01T09:46:00Z</dcterms:created>
  <dcterms:modified xsi:type="dcterms:W3CDTF">2019-02-14T08:18:00Z</dcterms:modified>
</cp:coreProperties>
</file>