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C05E" w14:textId="77777777" w:rsidR="00714AA3" w:rsidRPr="00C638D7" w:rsidRDefault="00387D2C" w:rsidP="00D73171">
      <w:pPr>
        <w:pStyle w:val="Alcm"/>
        <w:rPr>
          <w:rFonts w:ascii="Times New Roman" w:hAnsi="Times New Roman"/>
          <w:b/>
          <w:sz w:val="28"/>
          <w:szCs w:val="28"/>
        </w:rPr>
      </w:pPr>
      <w:r w:rsidRPr="00C638D7">
        <w:rPr>
          <w:rFonts w:ascii="Times New Roman" w:hAnsi="Times New Roman"/>
          <w:b/>
          <w:sz w:val="28"/>
          <w:szCs w:val="28"/>
        </w:rPr>
        <w:t xml:space="preserve">A magyar felsőoktatási rendszer leírása </w:t>
      </w:r>
    </w:p>
    <w:p w14:paraId="3EC37FC6" w14:textId="77777777" w:rsidR="00387D2C" w:rsidRPr="00C638D7" w:rsidRDefault="00387D2C" w:rsidP="00714AA3">
      <w:pPr>
        <w:pStyle w:val="Alcm"/>
        <w:rPr>
          <w:rFonts w:ascii="Times New Roman" w:hAnsi="Times New Roman"/>
          <w:b/>
          <w:sz w:val="28"/>
          <w:szCs w:val="28"/>
        </w:rPr>
      </w:pPr>
      <w:r w:rsidRPr="00C638D7">
        <w:rPr>
          <w:rFonts w:ascii="Times New Roman" w:hAnsi="Times New Roman"/>
          <w:b/>
          <w:sz w:val="28"/>
          <w:szCs w:val="28"/>
        </w:rPr>
        <w:t xml:space="preserve">az </w:t>
      </w:r>
      <w:r w:rsidR="00091D5B" w:rsidRPr="00C638D7">
        <w:rPr>
          <w:rFonts w:ascii="Times New Roman" w:hAnsi="Times New Roman"/>
          <w:b/>
          <w:sz w:val="28"/>
          <w:szCs w:val="28"/>
        </w:rPr>
        <w:t>o</w:t>
      </w:r>
      <w:r w:rsidRPr="00C638D7">
        <w:rPr>
          <w:rFonts w:ascii="Times New Roman" w:hAnsi="Times New Roman"/>
          <w:b/>
          <w:sz w:val="28"/>
          <w:szCs w:val="28"/>
        </w:rPr>
        <w:t xml:space="preserve">klevélmelléklet 8. pontjához, magyar </w:t>
      </w:r>
      <w:r w:rsidR="005C19AC" w:rsidRPr="00C638D7">
        <w:rPr>
          <w:rFonts w:ascii="Times New Roman" w:hAnsi="Times New Roman"/>
          <w:b/>
          <w:sz w:val="28"/>
          <w:szCs w:val="28"/>
        </w:rPr>
        <w:t xml:space="preserve">és angol </w:t>
      </w:r>
      <w:r w:rsidRPr="00C638D7">
        <w:rPr>
          <w:rFonts w:ascii="Times New Roman" w:hAnsi="Times New Roman"/>
          <w:b/>
          <w:sz w:val="28"/>
          <w:szCs w:val="28"/>
        </w:rPr>
        <w:t>nyelven</w:t>
      </w:r>
    </w:p>
    <w:p w14:paraId="6D0991CD" w14:textId="77777777" w:rsidR="00387D2C" w:rsidRPr="002210D5" w:rsidRDefault="00387D2C">
      <w:pPr>
        <w:jc w:val="center"/>
        <w:rPr>
          <w:b/>
          <w:color w:val="0000FF"/>
        </w:rPr>
      </w:pPr>
    </w:p>
    <w:p w14:paraId="232B56EB" w14:textId="77777777" w:rsidR="00434F44" w:rsidRPr="00434F44" w:rsidRDefault="00387D2C">
      <w:r w:rsidRPr="00434F44">
        <w:t>8. A magyar felsőoktatási rendszer leírása</w:t>
      </w:r>
      <w:r w:rsidR="00091D5B" w:rsidRPr="00434F44">
        <w:t xml:space="preserve"> </w:t>
      </w:r>
    </w:p>
    <w:p w14:paraId="50B22925" w14:textId="77777777" w:rsidR="00387D2C" w:rsidRPr="00434F44" w:rsidRDefault="00091D5B">
      <w:r w:rsidRPr="00434F44">
        <w:t xml:space="preserve">(módosítva </w:t>
      </w:r>
      <w:r w:rsidR="0048249F" w:rsidRPr="00434F44">
        <w:t>20</w:t>
      </w:r>
      <w:r w:rsidR="00434F44" w:rsidRPr="00434F44">
        <w:t>20 áprilisában</w:t>
      </w:r>
      <w:r w:rsidRPr="00434F44">
        <w:t>)</w:t>
      </w:r>
    </w:p>
    <w:p w14:paraId="5DE15DFC" w14:textId="77777777" w:rsidR="00387D2C" w:rsidRPr="00434F44" w:rsidRDefault="00387D2C">
      <w:pPr>
        <w:jc w:val="both"/>
      </w:pPr>
    </w:p>
    <w:p w14:paraId="29DF7BD1" w14:textId="77777777" w:rsidR="00387D2C" w:rsidRPr="00434F44" w:rsidRDefault="00387D2C">
      <w:pPr>
        <w:jc w:val="both"/>
        <w:rPr>
          <w:sz w:val="20"/>
          <w:szCs w:val="20"/>
        </w:rPr>
      </w:pPr>
      <w:r w:rsidRPr="00434F44">
        <w:rPr>
          <w:sz w:val="20"/>
          <w:szCs w:val="20"/>
        </w:rPr>
        <w:t>8.1. A felsőoktatási intézmények típusai és az intézmények igazgatása</w:t>
      </w:r>
    </w:p>
    <w:p w14:paraId="7D9DD0A5" w14:textId="77777777" w:rsidR="00387D2C" w:rsidRPr="00434F44" w:rsidRDefault="00387D2C">
      <w:pPr>
        <w:jc w:val="both"/>
        <w:rPr>
          <w:sz w:val="20"/>
          <w:szCs w:val="20"/>
        </w:rPr>
      </w:pPr>
      <w:r w:rsidRPr="00434F44">
        <w:rPr>
          <w:sz w:val="20"/>
          <w:szCs w:val="20"/>
        </w:rPr>
        <w:t xml:space="preserve">A felsőoktatási intézmények létesítését és működését a </w:t>
      </w:r>
      <w:r w:rsidR="00091D5B" w:rsidRPr="00434F44">
        <w:rPr>
          <w:sz w:val="20"/>
          <w:szCs w:val="20"/>
        </w:rPr>
        <w:t xml:space="preserve">nemzeti </w:t>
      </w:r>
      <w:r w:rsidRPr="00434F44">
        <w:rPr>
          <w:sz w:val="20"/>
          <w:szCs w:val="20"/>
        </w:rPr>
        <w:t>felsőoktatásról szóló 20</w:t>
      </w:r>
      <w:r w:rsidR="00091D5B" w:rsidRPr="00434F44">
        <w:rPr>
          <w:sz w:val="20"/>
          <w:szCs w:val="20"/>
        </w:rPr>
        <w:t>11</w:t>
      </w:r>
      <w:r w:rsidRPr="00434F44">
        <w:rPr>
          <w:sz w:val="20"/>
          <w:szCs w:val="20"/>
        </w:rPr>
        <w:t>. évi C</w:t>
      </w:r>
      <w:r w:rsidR="00DF2399" w:rsidRPr="00434F44">
        <w:rPr>
          <w:sz w:val="20"/>
          <w:szCs w:val="20"/>
        </w:rPr>
        <w:t>CIV</w:t>
      </w:r>
      <w:r w:rsidRPr="00434F44">
        <w:rPr>
          <w:sz w:val="20"/>
          <w:szCs w:val="20"/>
        </w:rPr>
        <w:t xml:space="preserve">. törvény szabályozza. </w:t>
      </w:r>
      <w:r w:rsidRPr="00434F44">
        <w:rPr>
          <w:snapToGrid w:val="0"/>
          <w:sz w:val="20"/>
          <w:szCs w:val="20"/>
        </w:rPr>
        <w:t xml:space="preserve">A </w:t>
      </w:r>
      <w:r w:rsidR="00DF2399" w:rsidRPr="00434F44">
        <w:rPr>
          <w:snapToGrid w:val="0"/>
          <w:sz w:val="20"/>
          <w:szCs w:val="20"/>
        </w:rPr>
        <w:t xml:space="preserve">nemzeti </w:t>
      </w:r>
      <w:r w:rsidRPr="00434F44">
        <w:rPr>
          <w:snapToGrid w:val="0"/>
          <w:sz w:val="20"/>
          <w:szCs w:val="20"/>
        </w:rPr>
        <w:t xml:space="preserve">felsőoktatási törvény jogszabályi keretei között működve a magyar felsőoktatási intézmények államilag elismert, állami vagy nem állami (egyházi vagy magán-) intézmények. Az államilag elismert intézmények felsorolása megtalálható a </w:t>
      </w:r>
      <w:r w:rsidR="00DF2399" w:rsidRPr="00434F44">
        <w:rPr>
          <w:snapToGrid w:val="0"/>
          <w:sz w:val="20"/>
          <w:szCs w:val="20"/>
        </w:rPr>
        <w:t xml:space="preserve">nemzeti </w:t>
      </w:r>
      <w:r w:rsidRPr="00434F44">
        <w:rPr>
          <w:snapToGrid w:val="0"/>
          <w:sz w:val="20"/>
          <w:szCs w:val="20"/>
        </w:rPr>
        <w:t xml:space="preserve">felsőoktatási törvény </w:t>
      </w:r>
      <w:r w:rsidR="004B6E9C" w:rsidRPr="00434F44">
        <w:rPr>
          <w:snapToGrid w:val="0"/>
          <w:sz w:val="20"/>
          <w:szCs w:val="20"/>
        </w:rPr>
        <w:t xml:space="preserve">1. </w:t>
      </w:r>
      <w:r w:rsidRPr="00434F44">
        <w:rPr>
          <w:snapToGrid w:val="0"/>
          <w:sz w:val="20"/>
          <w:szCs w:val="20"/>
        </w:rPr>
        <w:t xml:space="preserve">mellékletében. </w:t>
      </w:r>
      <w:r w:rsidRPr="00434F44">
        <w:rPr>
          <w:sz w:val="20"/>
          <w:szCs w:val="20"/>
        </w:rPr>
        <w:t xml:space="preserve">A felsőoktatási intézmények típusukat tekintve egyetemek vagy főiskolák lehetnek. Az egyetem és a főiskola is mind a három képzési ciklusban folytathat képzést. </w:t>
      </w:r>
      <w:r w:rsidR="004B6E9C" w:rsidRPr="00434F44">
        <w:rPr>
          <w:sz w:val="20"/>
          <w:szCs w:val="20"/>
        </w:rPr>
        <w:t>A képzés</w:t>
      </w:r>
      <w:r w:rsidR="00032FBD" w:rsidRPr="00434F44">
        <w:rPr>
          <w:sz w:val="20"/>
          <w:szCs w:val="20"/>
        </w:rPr>
        <w:t>e</w:t>
      </w:r>
      <w:r w:rsidR="004B6E9C" w:rsidRPr="00434F44">
        <w:rPr>
          <w:sz w:val="20"/>
          <w:szCs w:val="20"/>
        </w:rPr>
        <w:t>k nem különböznek intézménytípus szerint.</w:t>
      </w:r>
    </w:p>
    <w:p w14:paraId="2A5A5456" w14:textId="77777777" w:rsidR="00387D2C" w:rsidRPr="00434F44" w:rsidRDefault="00387D2C">
      <w:pPr>
        <w:rPr>
          <w:sz w:val="20"/>
          <w:szCs w:val="20"/>
        </w:rPr>
      </w:pPr>
    </w:p>
    <w:p w14:paraId="66622D99" w14:textId="77777777" w:rsidR="00387D2C" w:rsidRPr="00434F44" w:rsidRDefault="00387D2C">
      <w:pPr>
        <w:jc w:val="both"/>
        <w:rPr>
          <w:sz w:val="20"/>
          <w:szCs w:val="20"/>
        </w:rPr>
      </w:pPr>
      <w:r w:rsidRPr="00434F44">
        <w:rPr>
          <w:sz w:val="20"/>
          <w:szCs w:val="20"/>
        </w:rPr>
        <w:t>8.2. A képzések és a megszerezhető oklevelek típusai</w:t>
      </w:r>
    </w:p>
    <w:p w14:paraId="5F7C35ED" w14:textId="77777777" w:rsidR="00387D2C" w:rsidRPr="00434F44" w:rsidRDefault="00387D2C">
      <w:pPr>
        <w:jc w:val="both"/>
        <w:rPr>
          <w:i/>
          <w:sz w:val="20"/>
          <w:szCs w:val="20"/>
        </w:rPr>
      </w:pPr>
      <w:r w:rsidRPr="00434F44">
        <w:rPr>
          <w:sz w:val="20"/>
          <w:szCs w:val="20"/>
        </w:rPr>
        <w:t xml:space="preserve">A felsőoktatás egymásra épülő, felsőfokú végzettséget adó képzési ciklusai az alapképzés, a mesterképzés és a doktori képzés. </w:t>
      </w:r>
      <w:r w:rsidR="00DF2399" w:rsidRPr="00434F44">
        <w:rPr>
          <w:sz w:val="20"/>
          <w:szCs w:val="20"/>
        </w:rPr>
        <w:t xml:space="preserve">Mesterfokozatot </w:t>
      </w:r>
      <w:r w:rsidR="00887711" w:rsidRPr="00434F44">
        <w:rPr>
          <w:sz w:val="20"/>
          <w:szCs w:val="20"/>
        </w:rPr>
        <w:t xml:space="preserve">jogszabályban </w:t>
      </w:r>
      <w:r w:rsidR="00A928CB" w:rsidRPr="00434F44">
        <w:rPr>
          <w:sz w:val="20"/>
          <w:szCs w:val="20"/>
        </w:rPr>
        <w:t xml:space="preserve">meghatározott </w:t>
      </w:r>
      <w:r w:rsidR="00887711" w:rsidRPr="00434F44">
        <w:rPr>
          <w:sz w:val="20"/>
          <w:szCs w:val="20"/>
        </w:rPr>
        <w:t xml:space="preserve">esetekben </w:t>
      </w:r>
      <w:r w:rsidR="00DF2399" w:rsidRPr="00434F44">
        <w:rPr>
          <w:sz w:val="20"/>
          <w:szCs w:val="20"/>
        </w:rPr>
        <w:t>osztatlan képzésben is lehet szerezni.</w:t>
      </w:r>
    </w:p>
    <w:p w14:paraId="3B2D9BCA" w14:textId="77777777" w:rsidR="00387D2C" w:rsidRPr="00434F44" w:rsidRDefault="00387D2C">
      <w:pPr>
        <w:jc w:val="both"/>
        <w:rPr>
          <w:sz w:val="20"/>
          <w:szCs w:val="20"/>
        </w:rPr>
      </w:pPr>
    </w:p>
    <w:p w14:paraId="5FBE744A" w14:textId="77777777" w:rsidR="00387D2C" w:rsidRPr="00434F44" w:rsidRDefault="00387D2C">
      <w:pPr>
        <w:jc w:val="both"/>
        <w:rPr>
          <w:sz w:val="20"/>
          <w:szCs w:val="20"/>
        </w:rPr>
      </w:pPr>
      <w:r w:rsidRPr="00434F44">
        <w:rPr>
          <w:sz w:val="20"/>
          <w:szCs w:val="20"/>
        </w:rPr>
        <w:t xml:space="preserve">A felsőoktatási intézmények – a fentiek mellett – </w:t>
      </w:r>
      <w:r w:rsidR="004B6E9C" w:rsidRPr="00434F44">
        <w:rPr>
          <w:sz w:val="20"/>
          <w:szCs w:val="20"/>
        </w:rPr>
        <w:t>felsőfokú végzettség</w:t>
      </w:r>
      <w:r w:rsidR="00887711" w:rsidRPr="00434F44">
        <w:rPr>
          <w:sz w:val="20"/>
          <w:szCs w:val="20"/>
        </w:rPr>
        <w:t>i szint</w:t>
      </w:r>
      <w:r w:rsidR="004B6E9C" w:rsidRPr="00434F44">
        <w:rPr>
          <w:sz w:val="20"/>
          <w:szCs w:val="20"/>
        </w:rPr>
        <w:t xml:space="preserve">et nem nyújtó </w:t>
      </w:r>
      <w:r w:rsidRPr="00434F44">
        <w:rPr>
          <w:sz w:val="20"/>
          <w:szCs w:val="20"/>
        </w:rPr>
        <w:t>felső</w:t>
      </w:r>
      <w:r w:rsidR="00DF2399" w:rsidRPr="00434F44">
        <w:rPr>
          <w:sz w:val="20"/>
          <w:szCs w:val="20"/>
        </w:rPr>
        <w:t>oktatási</w:t>
      </w:r>
      <w:r w:rsidRPr="00434F44">
        <w:rPr>
          <w:sz w:val="20"/>
          <w:szCs w:val="20"/>
        </w:rPr>
        <w:t xml:space="preserve"> szakképzést és szakirányú továbbképzést is folytathatnak, valamint az élethosszig tartó tanulás keretében felnőttképzést is szervezhetnek.</w:t>
      </w:r>
    </w:p>
    <w:p w14:paraId="288027E8" w14:textId="77777777" w:rsidR="00387D2C" w:rsidRPr="00434F44" w:rsidRDefault="00387D2C">
      <w:pPr>
        <w:jc w:val="both"/>
        <w:rPr>
          <w:sz w:val="20"/>
          <w:szCs w:val="20"/>
        </w:rPr>
      </w:pPr>
    </w:p>
    <w:p w14:paraId="5787ADC5" w14:textId="77777777" w:rsidR="00387D2C" w:rsidRPr="00434F44" w:rsidRDefault="00387D2C">
      <w:pPr>
        <w:jc w:val="both"/>
        <w:rPr>
          <w:sz w:val="20"/>
          <w:szCs w:val="20"/>
        </w:rPr>
      </w:pPr>
      <w:r w:rsidRPr="00434F44">
        <w:rPr>
          <w:sz w:val="20"/>
          <w:szCs w:val="20"/>
        </w:rPr>
        <w:t xml:space="preserve">A felsőoktatási intézmények </w:t>
      </w:r>
      <w:r w:rsidR="00DF2399" w:rsidRPr="00434F44">
        <w:rPr>
          <w:sz w:val="20"/>
          <w:szCs w:val="20"/>
        </w:rPr>
        <w:t xml:space="preserve">az Európai Kreditátviteli Rendszerre épülő </w:t>
      </w:r>
      <w:r w:rsidRPr="00434F44">
        <w:rPr>
          <w:sz w:val="20"/>
          <w:szCs w:val="20"/>
        </w:rPr>
        <w:t xml:space="preserve">kreditrendszert </w:t>
      </w:r>
      <w:r w:rsidR="004B6E9C" w:rsidRPr="00434F44">
        <w:rPr>
          <w:sz w:val="20"/>
          <w:szCs w:val="20"/>
        </w:rPr>
        <w:t>alkalmaznak</w:t>
      </w:r>
      <w:r w:rsidRPr="00434F44">
        <w:rPr>
          <w:sz w:val="20"/>
          <w:szCs w:val="20"/>
        </w:rPr>
        <w:t xml:space="preserve">. Egy kredit </w:t>
      </w:r>
      <w:r w:rsidR="00DF2399" w:rsidRPr="00434F44">
        <w:rPr>
          <w:sz w:val="20"/>
          <w:szCs w:val="20"/>
        </w:rPr>
        <w:t xml:space="preserve">átlagosan </w:t>
      </w:r>
      <w:r w:rsidRPr="00434F44">
        <w:rPr>
          <w:sz w:val="20"/>
          <w:szCs w:val="20"/>
        </w:rPr>
        <w:t>30 hallgatói tanulmányi munkaóra elvégzésével egyenértékű.</w:t>
      </w:r>
    </w:p>
    <w:p w14:paraId="0B224B24" w14:textId="77777777" w:rsidR="00387D2C" w:rsidRPr="00434F44" w:rsidRDefault="00387D2C">
      <w:pPr>
        <w:jc w:val="both"/>
        <w:rPr>
          <w:sz w:val="20"/>
          <w:szCs w:val="20"/>
        </w:rPr>
      </w:pPr>
    </w:p>
    <w:p w14:paraId="3DA95F1F" w14:textId="77777777" w:rsidR="00387D2C" w:rsidRPr="00434F44" w:rsidRDefault="00387D2C">
      <w:pPr>
        <w:jc w:val="both"/>
        <w:rPr>
          <w:sz w:val="20"/>
          <w:szCs w:val="20"/>
        </w:rPr>
      </w:pPr>
      <w:r w:rsidRPr="00434F44">
        <w:rPr>
          <w:sz w:val="20"/>
          <w:szCs w:val="20"/>
        </w:rPr>
        <w:t>8.3. A képzések és a fokozatok engedélyezése/akkreditálása</w:t>
      </w:r>
    </w:p>
    <w:p w14:paraId="25B30733" w14:textId="77777777" w:rsidR="00887711" w:rsidRPr="00434F44" w:rsidRDefault="00887711">
      <w:pPr>
        <w:jc w:val="both"/>
        <w:rPr>
          <w:sz w:val="20"/>
          <w:szCs w:val="20"/>
        </w:rPr>
      </w:pPr>
      <w:r w:rsidRPr="00434F44">
        <w:rPr>
          <w:sz w:val="20"/>
          <w:szCs w:val="20"/>
        </w:rPr>
        <w:t xml:space="preserve">Valamennyi </w:t>
      </w:r>
      <w:r w:rsidR="005B40F8" w:rsidRPr="00434F44">
        <w:rPr>
          <w:sz w:val="20"/>
          <w:szCs w:val="20"/>
        </w:rPr>
        <w:t xml:space="preserve">felsőoktatási szakképzés, </w:t>
      </w:r>
      <w:r w:rsidRPr="00434F44">
        <w:rPr>
          <w:sz w:val="20"/>
          <w:szCs w:val="20"/>
        </w:rPr>
        <w:t>alap-</w:t>
      </w:r>
      <w:r w:rsidR="005B40F8" w:rsidRPr="00434F44">
        <w:rPr>
          <w:sz w:val="20"/>
          <w:szCs w:val="20"/>
        </w:rPr>
        <w:t xml:space="preserve"> és</w:t>
      </w:r>
      <w:r w:rsidRPr="00434F44">
        <w:rPr>
          <w:sz w:val="20"/>
          <w:szCs w:val="20"/>
        </w:rPr>
        <w:t xml:space="preserve"> mesterképzés</w:t>
      </w:r>
      <w:r w:rsidR="00A928CB" w:rsidRPr="00434F44">
        <w:rPr>
          <w:sz w:val="20"/>
          <w:szCs w:val="20"/>
        </w:rPr>
        <w:t xml:space="preserve"> </w:t>
      </w:r>
      <w:r w:rsidRPr="00434F44">
        <w:rPr>
          <w:sz w:val="20"/>
          <w:szCs w:val="20"/>
        </w:rPr>
        <w:t>eseté</w:t>
      </w:r>
      <w:r w:rsidR="00A928CB" w:rsidRPr="00434F44">
        <w:rPr>
          <w:sz w:val="20"/>
          <w:szCs w:val="20"/>
        </w:rPr>
        <w:t>be</w:t>
      </w:r>
      <w:r w:rsidRPr="00434F44">
        <w:rPr>
          <w:sz w:val="20"/>
          <w:szCs w:val="20"/>
        </w:rPr>
        <w:t xml:space="preserve">n jogszabály határozza meg a képzési és kimeneti követelményeket, vagyis a képzés szintjét, a </w:t>
      </w:r>
      <w:r w:rsidR="00A928CB" w:rsidRPr="00434F44">
        <w:rPr>
          <w:sz w:val="20"/>
          <w:szCs w:val="20"/>
        </w:rPr>
        <w:t>meg</w:t>
      </w:r>
      <w:r w:rsidRPr="00434F44">
        <w:rPr>
          <w:sz w:val="20"/>
          <w:szCs w:val="20"/>
        </w:rPr>
        <w:t xml:space="preserve">szerezhető szakképzettséget és azon kompetenciáknak az összességét, </w:t>
      </w:r>
      <w:r w:rsidR="00A928CB" w:rsidRPr="00434F44">
        <w:rPr>
          <w:sz w:val="20"/>
          <w:szCs w:val="20"/>
        </w:rPr>
        <w:t>a</w:t>
      </w:r>
      <w:r w:rsidRPr="00434F44">
        <w:rPr>
          <w:sz w:val="20"/>
          <w:szCs w:val="20"/>
        </w:rPr>
        <w:t>melyek megszerzése esetén az adott szakon az oklevél kiadható.</w:t>
      </w:r>
    </w:p>
    <w:p w14:paraId="6027E852" w14:textId="77777777" w:rsidR="00887711" w:rsidRPr="00434F44" w:rsidRDefault="00887711">
      <w:pPr>
        <w:jc w:val="both"/>
        <w:rPr>
          <w:sz w:val="20"/>
          <w:szCs w:val="20"/>
        </w:rPr>
      </w:pPr>
    </w:p>
    <w:p w14:paraId="760885DA" w14:textId="77777777" w:rsidR="00387D2C" w:rsidRPr="00E748E7" w:rsidRDefault="00DF2399" w:rsidP="00E748E7">
      <w:pPr>
        <w:spacing w:before="120"/>
        <w:jc w:val="both"/>
        <w:rPr>
          <w:sz w:val="18"/>
          <w:szCs w:val="18"/>
        </w:rPr>
      </w:pPr>
      <w:r w:rsidRPr="00E748E7">
        <w:rPr>
          <w:sz w:val="20"/>
          <w:szCs w:val="20"/>
        </w:rPr>
        <w:t xml:space="preserve">A felsőoktatási intézmények kérelmére, a Magyar Felsőoktatási Akkreditációs Bizottság által adott szakvélemény birtokában az Oktatási Hivatal jár el </w:t>
      </w:r>
      <w:r w:rsidR="005B40F8" w:rsidRPr="00E748E7">
        <w:rPr>
          <w:sz w:val="20"/>
          <w:szCs w:val="20"/>
        </w:rPr>
        <w:t xml:space="preserve">a felsőoktatási szakképzés, </w:t>
      </w:r>
      <w:r w:rsidRPr="00E748E7">
        <w:rPr>
          <w:sz w:val="20"/>
          <w:szCs w:val="20"/>
        </w:rPr>
        <w:t>az alap- és a mesterképzés</w:t>
      </w:r>
      <w:r w:rsidR="0005663A" w:rsidRPr="00E748E7">
        <w:rPr>
          <w:sz w:val="20"/>
          <w:szCs w:val="20"/>
        </w:rPr>
        <w:t xml:space="preserve"> indítására irányuló eljárásokban</w:t>
      </w:r>
      <w:r w:rsidRPr="00E748E7">
        <w:rPr>
          <w:sz w:val="20"/>
          <w:szCs w:val="20"/>
        </w:rPr>
        <w:t xml:space="preserve">, valamint a doktori </w:t>
      </w:r>
      <w:r w:rsidR="0005663A" w:rsidRPr="00E748E7">
        <w:rPr>
          <w:sz w:val="20"/>
          <w:szCs w:val="20"/>
        </w:rPr>
        <w:t>iskola nyilvántartásba vételében</w:t>
      </w:r>
      <w:r w:rsidRPr="00E748E7">
        <w:rPr>
          <w:sz w:val="20"/>
          <w:szCs w:val="20"/>
        </w:rPr>
        <w:t xml:space="preserve">. A Magyar Felsőoktatási Akkreditációs Bizottság szakvéleményének figyelembevételével szintén az Oktatási Hivatal vizsgálja felül ötévente a felsőoktatási intézmények működési engedélyét. A fenti eljárások valamennyi </w:t>
      </w:r>
      <w:r w:rsidRPr="00E748E7">
        <w:rPr>
          <w:bCs/>
          <w:color w:val="000000"/>
          <w:sz w:val="20"/>
          <w:szCs w:val="20"/>
        </w:rPr>
        <w:t xml:space="preserve">államilag elismert, </w:t>
      </w:r>
      <w:r w:rsidRPr="00E748E7">
        <w:rPr>
          <w:snapToGrid w:val="0"/>
          <w:sz w:val="20"/>
          <w:szCs w:val="20"/>
        </w:rPr>
        <w:t>állami</w:t>
      </w:r>
      <w:r w:rsidR="003D5A21" w:rsidRPr="00E748E7">
        <w:rPr>
          <w:snapToGrid w:val="0"/>
          <w:sz w:val="20"/>
          <w:szCs w:val="20"/>
        </w:rPr>
        <w:t xml:space="preserve"> vagy nem állami</w:t>
      </w:r>
      <w:r w:rsidRPr="00E748E7">
        <w:rPr>
          <w:snapToGrid w:val="0"/>
          <w:sz w:val="20"/>
          <w:szCs w:val="20"/>
        </w:rPr>
        <w:t xml:space="preserve"> </w:t>
      </w:r>
      <w:r w:rsidRPr="00E748E7">
        <w:rPr>
          <w:bCs/>
          <w:color w:val="000000"/>
          <w:sz w:val="20"/>
          <w:szCs w:val="20"/>
        </w:rPr>
        <w:t xml:space="preserve">felsőoktatási intézmény esetében </w:t>
      </w:r>
      <w:r w:rsidRPr="00E748E7">
        <w:rPr>
          <w:sz w:val="20"/>
          <w:szCs w:val="20"/>
        </w:rPr>
        <w:t>azonosak</w:t>
      </w:r>
      <w:r w:rsidR="004B6E9C" w:rsidRPr="00E748E7">
        <w:rPr>
          <w:sz w:val="20"/>
          <w:szCs w:val="20"/>
        </w:rPr>
        <w:t xml:space="preserve"> azzal</w:t>
      </w:r>
      <w:r w:rsidR="00CE2ED4" w:rsidRPr="00E748E7">
        <w:rPr>
          <w:sz w:val="20"/>
          <w:szCs w:val="20"/>
        </w:rPr>
        <w:t xml:space="preserve"> az eltéréssel</w:t>
      </w:r>
      <w:r w:rsidR="004B6E9C" w:rsidRPr="00E748E7">
        <w:rPr>
          <w:sz w:val="20"/>
          <w:szCs w:val="20"/>
        </w:rPr>
        <w:t>, hogy a hitéleti képzések esetében minőséghitelesítésre sem a Magyar Felsőoktatási Akkreditációs Bizottságnak, sem a</w:t>
      </w:r>
      <w:r w:rsidR="00A928CB" w:rsidRPr="00E748E7">
        <w:rPr>
          <w:sz w:val="20"/>
          <w:szCs w:val="20"/>
        </w:rPr>
        <w:t>z Oktatási Hivatalnak</w:t>
      </w:r>
      <w:r w:rsidR="004B6E9C" w:rsidRPr="00E748E7">
        <w:rPr>
          <w:sz w:val="20"/>
          <w:szCs w:val="20"/>
        </w:rPr>
        <w:t xml:space="preserve"> nincs hatásköre. A hitéleti képzések esetében kizárólag a tárgyi és személyi feltételek vizsgálhatók</w:t>
      </w:r>
      <w:r w:rsidRPr="00E748E7">
        <w:rPr>
          <w:bCs/>
          <w:color w:val="000000"/>
          <w:sz w:val="18"/>
          <w:szCs w:val="18"/>
        </w:rPr>
        <w:t>.</w:t>
      </w:r>
    </w:p>
    <w:p w14:paraId="4003E3E5" w14:textId="77777777" w:rsidR="00387D2C" w:rsidRPr="00434F44" w:rsidRDefault="00387D2C">
      <w:pPr>
        <w:jc w:val="both"/>
        <w:rPr>
          <w:sz w:val="20"/>
          <w:szCs w:val="20"/>
        </w:rPr>
      </w:pPr>
    </w:p>
    <w:p w14:paraId="704AB103" w14:textId="77777777" w:rsidR="00387D2C" w:rsidRPr="00434F44" w:rsidRDefault="00387D2C">
      <w:pPr>
        <w:jc w:val="both"/>
        <w:rPr>
          <w:sz w:val="20"/>
          <w:szCs w:val="20"/>
        </w:rPr>
      </w:pPr>
      <w:r w:rsidRPr="00434F44">
        <w:rPr>
          <w:sz w:val="20"/>
          <w:szCs w:val="20"/>
        </w:rPr>
        <w:t xml:space="preserve">8.4. </w:t>
      </w:r>
      <w:r w:rsidR="003D5A21" w:rsidRPr="00434F44">
        <w:rPr>
          <w:sz w:val="20"/>
          <w:szCs w:val="20"/>
        </w:rPr>
        <w:t>A képzés rendszere</w:t>
      </w:r>
    </w:p>
    <w:p w14:paraId="7C75C4B6" w14:textId="77777777" w:rsidR="00244E53" w:rsidRPr="00434F44" w:rsidRDefault="00244E53" w:rsidP="00244E53">
      <w:pPr>
        <w:jc w:val="both"/>
        <w:rPr>
          <w:snapToGrid w:val="0"/>
          <w:sz w:val="20"/>
          <w:szCs w:val="20"/>
        </w:rPr>
      </w:pPr>
      <w:r w:rsidRPr="00434F44">
        <w:rPr>
          <w:snapToGrid w:val="0"/>
          <w:sz w:val="20"/>
          <w:szCs w:val="20"/>
        </w:rPr>
        <w:t>A hallgatók tanulmányaikat a felsőoktatási szakképzésben, az alap- és a mesterképzésben, valamint a szakirányú továbbképzésben záróvizsgával fejezik be. A záróvizsga szakdolgozat vagy diplomamunka megvédéséből, valamint további szóbeli, írásbeli és gyakorlati vizsgarészekből állhat.</w:t>
      </w:r>
    </w:p>
    <w:p w14:paraId="4D086770" w14:textId="77777777" w:rsidR="00EE3DBD" w:rsidRPr="00434F44" w:rsidRDefault="00EE3DBD" w:rsidP="00244E53">
      <w:pPr>
        <w:jc w:val="both"/>
        <w:rPr>
          <w:snapToGrid w:val="0"/>
          <w:sz w:val="20"/>
          <w:szCs w:val="20"/>
        </w:rPr>
      </w:pPr>
    </w:p>
    <w:p w14:paraId="56750E20" w14:textId="77777777" w:rsidR="00244E53" w:rsidRPr="00434F44" w:rsidRDefault="00244E53" w:rsidP="00244E53">
      <w:pPr>
        <w:jc w:val="both"/>
        <w:rPr>
          <w:sz w:val="20"/>
          <w:szCs w:val="20"/>
        </w:rPr>
      </w:pPr>
      <w:r w:rsidRPr="00434F44">
        <w:rPr>
          <w:sz w:val="20"/>
          <w:szCs w:val="20"/>
        </w:rPr>
        <w:t>8.4.1. Felsőoktatási szakképzés</w:t>
      </w:r>
      <w:r w:rsidR="003D5A21" w:rsidRPr="00434F44">
        <w:rPr>
          <w:sz w:val="20"/>
          <w:szCs w:val="20"/>
        </w:rPr>
        <w:t>ek</w:t>
      </w:r>
    </w:p>
    <w:p w14:paraId="63ABC4AE" w14:textId="77777777" w:rsidR="0092311C" w:rsidRPr="00434F44" w:rsidRDefault="009779C5" w:rsidP="00244E53">
      <w:pPr>
        <w:jc w:val="both"/>
        <w:rPr>
          <w:sz w:val="20"/>
          <w:szCs w:val="20"/>
        </w:rPr>
      </w:pPr>
      <w:r w:rsidRPr="00434F44">
        <w:rPr>
          <w:sz w:val="20"/>
          <w:szCs w:val="20"/>
        </w:rPr>
        <w:t xml:space="preserve">A felsőoktatási szakképzésben megszerzett oklevél felsőfokú szakképzettséget tanúsít, önálló végzettségi szintet azonban nem. </w:t>
      </w:r>
      <w:r w:rsidR="0092311C" w:rsidRPr="00434F44">
        <w:rPr>
          <w:sz w:val="20"/>
          <w:szCs w:val="20"/>
        </w:rPr>
        <w:t xml:space="preserve">A felsőoktatási szakképzésben </w:t>
      </w:r>
      <w:r w:rsidR="00D73171" w:rsidRPr="00434F44">
        <w:rPr>
          <w:sz w:val="20"/>
          <w:szCs w:val="20"/>
        </w:rPr>
        <w:t xml:space="preserve">legalább </w:t>
      </w:r>
      <w:r w:rsidR="0092311C" w:rsidRPr="00434F44">
        <w:rPr>
          <w:sz w:val="20"/>
          <w:szCs w:val="20"/>
        </w:rPr>
        <w:t xml:space="preserve">120 kreditet kell teljesíteni, a képzési idő </w:t>
      </w:r>
      <w:r w:rsidR="00D73171" w:rsidRPr="00434F44">
        <w:rPr>
          <w:sz w:val="20"/>
          <w:szCs w:val="20"/>
        </w:rPr>
        <w:t xml:space="preserve">legalább </w:t>
      </w:r>
      <w:r w:rsidR="004E6D52" w:rsidRPr="00434F44">
        <w:rPr>
          <w:sz w:val="20"/>
          <w:szCs w:val="20"/>
        </w:rPr>
        <w:t>4</w:t>
      </w:r>
      <w:r w:rsidR="0092311C" w:rsidRPr="00434F44">
        <w:rPr>
          <w:sz w:val="20"/>
          <w:szCs w:val="20"/>
        </w:rPr>
        <w:t xml:space="preserve"> félév.</w:t>
      </w:r>
    </w:p>
    <w:p w14:paraId="4FA525FF" w14:textId="77777777" w:rsidR="00244E53" w:rsidRPr="00434F44" w:rsidRDefault="00244E53">
      <w:pPr>
        <w:jc w:val="both"/>
        <w:rPr>
          <w:sz w:val="20"/>
          <w:szCs w:val="20"/>
        </w:rPr>
      </w:pPr>
    </w:p>
    <w:p w14:paraId="0DAF78DD" w14:textId="77777777" w:rsidR="00244E53" w:rsidRPr="00434F44" w:rsidRDefault="00244E53" w:rsidP="00244E53">
      <w:pPr>
        <w:jc w:val="both"/>
        <w:rPr>
          <w:sz w:val="20"/>
          <w:szCs w:val="20"/>
        </w:rPr>
      </w:pPr>
      <w:r w:rsidRPr="00434F44">
        <w:rPr>
          <w:sz w:val="20"/>
          <w:szCs w:val="20"/>
        </w:rPr>
        <w:t>8.4.2. Az első és a második ciklusba tartozó képzések</w:t>
      </w:r>
    </w:p>
    <w:p w14:paraId="1FBC65DE" w14:textId="77777777" w:rsidR="00387D2C" w:rsidRPr="00434F44" w:rsidRDefault="00387D2C">
      <w:pPr>
        <w:jc w:val="both"/>
        <w:rPr>
          <w:sz w:val="20"/>
          <w:szCs w:val="20"/>
        </w:rPr>
      </w:pPr>
      <w:r w:rsidRPr="00434F44">
        <w:rPr>
          <w:sz w:val="20"/>
          <w:szCs w:val="20"/>
        </w:rPr>
        <w:t>Első felsőfokú végzettség</w:t>
      </w:r>
      <w:r w:rsidR="00887711" w:rsidRPr="00434F44">
        <w:rPr>
          <w:sz w:val="20"/>
          <w:szCs w:val="20"/>
        </w:rPr>
        <w:t>i szint</w:t>
      </w:r>
      <w:r w:rsidRPr="00434F44">
        <w:rPr>
          <w:sz w:val="20"/>
          <w:szCs w:val="20"/>
        </w:rPr>
        <w:t>ként alapfokozat és szakképzettség szerezhető. Az alapképzésben 180–240 kreditet kell teljesíteni. A képzési idő 6–8 félév.</w:t>
      </w:r>
    </w:p>
    <w:p w14:paraId="199CB63D" w14:textId="77777777" w:rsidR="00387D2C" w:rsidRPr="00434F44" w:rsidRDefault="00387D2C">
      <w:pPr>
        <w:jc w:val="both"/>
        <w:rPr>
          <w:sz w:val="20"/>
          <w:szCs w:val="20"/>
          <w:u w:val="single"/>
        </w:rPr>
      </w:pPr>
    </w:p>
    <w:p w14:paraId="2C080BAB" w14:textId="77777777" w:rsidR="00387D2C" w:rsidRPr="00434F44" w:rsidRDefault="00387D2C">
      <w:pPr>
        <w:jc w:val="both"/>
        <w:rPr>
          <w:sz w:val="20"/>
          <w:szCs w:val="20"/>
        </w:rPr>
      </w:pPr>
      <w:r w:rsidRPr="00434F44">
        <w:rPr>
          <w:sz w:val="20"/>
          <w:szCs w:val="20"/>
        </w:rPr>
        <w:t>Második felsőfokú végzettség</w:t>
      </w:r>
      <w:r w:rsidR="00887711" w:rsidRPr="00434F44">
        <w:rPr>
          <w:sz w:val="20"/>
          <w:szCs w:val="20"/>
        </w:rPr>
        <w:t>i szint</w:t>
      </w:r>
      <w:r w:rsidRPr="00434F44">
        <w:rPr>
          <w:sz w:val="20"/>
          <w:szCs w:val="20"/>
        </w:rPr>
        <w:t>ként mesterfokozat és szakképzettség szerezhető. Az alapfokozatra épülő mesterképzésben 60–120 kreditet kell megszerezni. A képzési idő 2–4 félév.</w:t>
      </w:r>
    </w:p>
    <w:p w14:paraId="4BB459DD" w14:textId="77777777" w:rsidR="00387D2C" w:rsidRPr="00434F44" w:rsidRDefault="00387D2C">
      <w:pPr>
        <w:jc w:val="both"/>
        <w:rPr>
          <w:sz w:val="20"/>
          <w:szCs w:val="20"/>
        </w:rPr>
      </w:pPr>
    </w:p>
    <w:p w14:paraId="60E85CB5" w14:textId="77777777" w:rsidR="003D5A21" w:rsidRPr="00434F44" w:rsidRDefault="003D5A21" w:rsidP="003D5A21">
      <w:pPr>
        <w:jc w:val="both"/>
        <w:rPr>
          <w:strike/>
          <w:sz w:val="20"/>
          <w:szCs w:val="20"/>
        </w:rPr>
      </w:pPr>
      <w:r w:rsidRPr="00434F44">
        <w:rPr>
          <w:sz w:val="20"/>
          <w:szCs w:val="20"/>
        </w:rPr>
        <w:t xml:space="preserve">8.4.3. </w:t>
      </w:r>
      <w:r w:rsidRPr="00434F44">
        <w:rPr>
          <w:snapToGrid w:val="0"/>
          <w:sz w:val="20"/>
          <w:szCs w:val="20"/>
        </w:rPr>
        <w:t>Osztatlan képzések</w:t>
      </w:r>
    </w:p>
    <w:p w14:paraId="4D397B66" w14:textId="77777777" w:rsidR="003D5A21" w:rsidRPr="00434F44" w:rsidRDefault="003D5A21" w:rsidP="003D5A21">
      <w:pPr>
        <w:jc w:val="both"/>
        <w:rPr>
          <w:snapToGrid w:val="0"/>
          <w:sz w:val="20"/>
          <w:szCs w:val="20"/>
        </w:rPr>
      </w:pPr>
      <w:r w:rsidRPr="00434F44">
        <w:rPr>
          <w:snapToGrid w:val="0"/>
          <w:sz w:val="20"/>
          <w:szCs w:val="20"/>
        </w:rPr>
        <w:t xml:space="preserve">Az osztatlan képzések </w:t>
      </w:r>
      <w:r w:rsidR="00887711" w:rsidRPr="00434F44">
        <w:rPr>
          <w:snapToGrid w:val="0"/>
          <w:sz w:val="20"/>
          <w:szCs w:val="20"/>
        </w:rPr>
        <w:t>érettségi</w:t>
      </w:r>
      <w:r w:rsidR="009779C5" w:rsidRPr="00434F44">
        <w:rPr>
          <w:snapToGrid w:val="0"/>
          <w:sz w:val="20"/>
          <w:szCs w:val="20"/>
        </w:rPr>
        <w:t xml:space="preserve"> vizsgára </w:t>
      </w:r>
      <w:r w:rsidR="00887711" w:rsidRPr="00434F44">
        <w:rPr>
          <w:snapToGrid w:val="0"/>
          <w:sz w:val="20"/>
          <w:szCs w:val="20"/>
        </w:rPr>
        <w:t xml:space="preserve">épülő és </w:t>
      </w:r>
      <w:r w:rsidRPr="00434F44">
        <w:rPr>
          <w:snapToGrid w:val="0"/>
          <w:sz w:val="20"/>
          <w:szCs w:val="20"/>
        </w:rPr>
        <w:t>mesterfokozattal záruló, 10–12 félév időtartamú képzések, amelyek során 300–360 kreditet kell megszerezni. A hitéleti képzések mellett osztatlan képzés folyik például az állatorvos-, építész-, fogorvos-, gyógyszerész-, jogász-, tanár- és orvosképzés esetében, továbbá egyes művészeti szakokon.</w:t>
      </w:r>
    </w:p>
    <w:p w14:paraId="313FC442" w14:textId="77777777" w:rsidR="003D5A21" w:rsidRPr="00434F44" w:rsidRDefault="003D5A21" w:rsidP="003D5A21">
      <w:pPr>
        <w:jc w:val="both"/>
        <w:rPr>
          <w:sz w:val="20"/>
          <w:szCs w:val="20"/>
        </w:rPr>
      </w:pPr>
    </w:p>
    <w:p w14:paraId="7658E766" w14:textId="77777777" w:rsidR="00244E53" w:rsidRPr="00434F44" w:rsidRDefault="00244E53" w:rsidP="00244E53">
      <w:pPr>
        <w:jc w:val="both"/>
        <w:rPr>
          <w:sz w:val="20"/>
          <w:szCs w:val="20"/>
        </w:rPr>
      </w:pPr>
      <w:r w:rsidRPr="00434F44">
        <w:rPr>
          <w:sz w:val="20"/>
          <w:szCs w:val="20"/>
        </w:rPr>
        <w:t>8.4.4. Felsőfokú végzettségi szintre épülő szakmai képzések</w:t>
      </w:r>
    </w:p>
    <w:p w14:paraId="4BB22293" w14:textId="77777777" w:rsidR="00244E53" w:rsidRPr="00434F44" w:rsidRDefault="00244E53" w:rsidP="00244E53">
      <w:pPr>
        <w:jc w:val="both"/>
        <w:rPr>
          <w:sz w:val="20"/>
          <w:szCs w:val="20"/>
        </w:rPr>
      </w:pPr>
      <w:r w:rsidRPr="00434F44">
        <w:rPr>
          <w:sz w:val="20"/>
          <w:szCs w:val="20"/>
        </w:rPr>
        <w:t xml:space="preserve">A felsőoktatási intézmények az alap- vagy mesterfokozattal rendelkezők számára szakirányú továbbképzést is </w:t>
      </w:r>
      <w:r w:rsidR="00887711" w:rsidRPr="00434F44">
        <w:rPr>
          <w:sz w:val="20"/>
          <w:szCs w:val="20"/>
        </w:rPr>
        <w:t>nyújthatnak</w:t>
      </w:r>
      <w:r w:rsidRPr="00434F44">
        <w:rPr>
          <w:sz w:val="20"/>
          <w:szCs w:val="20"/>
        </w:rPr>
        <w:t>, amelynek során 60–120 kredit teljesítésével további, szakirányú szakképzettség szerezhető. A képzési idő 2–4 félév.</w:t>
      </w:r>
    </w:p>
    <w:p w14:paraId="0BE5383F" w14:textId="77777777" w:rsidR="00387D2C" w:rsidRPr="00434F44" w:rsidRDefault="00387D2C">
      <w:pPr>
        <w:jc w:val="both"/>
        <w:rPr>
          <w:sz w:val="20"/>
          <w:szCs w:val="20"/>
        </w:rPr>
      </w:pPr>
    </w:p>
    <w:p w14:paraId="73AB905E" w14:textId="77777777" w:rsidR="00EE3DBD" w:rsidRPr="00434F44" w:rsidRDefault="00EE3DBD" w:rsidP="00D057DF">
      <w:pPr>
        <w:jc w:val="both"/>
        <w:rPr>
          <w:sz w:val="20"/>
          <w:szCs w:val="20"/>
        </w:rPr>
      </w:pPr>
      <w:r w:rsidRPr="00434F44">
        <w:rPr>
          <w:sz w:val="20"/>
          <w:szCs w:val="20"/>
        </w:rPr>
        <w:t>8.4.5. Doktori tanulmányok</w:t>
      </w:r>
    </w:p>
    <w:p w14:paraId="17CE4AEE" w14:textId="77777777" w:rsidR="00D82F00" w:rsidRPr="00434F44" w:rsidRDefault="00D82F00" w:rsidP="00D057DF">
      <w:pPr>
        <w:jc w:val="both"/>
        <w:rPr>
          <w:sz w:val="20"/>
          <w:szCs w:val="20"/>
        </w:rPr>
      </w:pPr>
      <w:r w:rsidRPr="00434F44">
        <w:rPr>
          <w:sz w:val="20"/>
          <w:szCs w:val="20"/>
        </w:rPr>
        <w:t xml:space="preserve">A 2016. szeptember 1-je előtt indult doktori képzésekben legalább 180 kreditet kell teljesíteni. A képzési idő 36 hónap. </w:t>
      </w:r>
    </w:p>
    <w:p w14:paraId="601D4BC6" w14:textId="77777777" w:rsidR="00D82F00" w:rsidRPr="00434F44" w:rsidRDefault="00D82F00" w:rsidP="00D057DF">
      <w:pPr>
        <w:jc w:val="both"/>
        <w:rPr>
          <w:sz w:val="20"/>
          <w:szCs w:val="20"/>
        </w:rPr>
      </w:pPr>
    </w:p>
    <w:p w14:paraId="5EF0D76D" w14:textId="77777777" w:rsidR="00D82F00" w:rsidRPr="00434F44" w:rsidRDefault="00D82F00" w:rsidP="00D057DF">
      <w:pPr>
        <w:jc w:val="both"/>
        <w:rPr>
          <w:sz w:val="20"/>
          <w:szCs w:val="20"/>
        </w:rPr>
      </w:pPr>
      <w:r w:rsidRPr="00434F44">
        <w:rPr>
          <w:sz w:val="20"/>
          <w:szCs w:val="20"/>
        </w:rPr>
        <w:t xml:space="preserve">A 2016. szeptember 1-je után indult doktori képzésekben pedig legalább 240 kreditet kell teljesíteni. A képzési idő 8 félév. A doktori képzés során, a negyedik félév végén, komplex vizsgát kell teljesíteni. A doktori értekezést a komplex vizsgát követő három éven belül kell benyújtani. </w:t>
      </w:r>
    </w:p>
    <w:p w14:paraId="58854B09" w14:textId="77777777" w:rsidR="00D82F00" w:rsidRPr="00434F44" w:rsidRDefault="00D82F00" w:rsidP="00D057DF">
      <w:pPr>
        <w:jc w:val="both"/>
        <w:rPr>
          <w:sz w:val="20"/>
          <w:szCs w:val="20"/>
        </w:rPr>
      </w:pPr>
    </w:p>
    <w:p w14:paraId="0C9C7B54" w14:textId="77777777" w:rsidR="00D82F00" w:rsidRPr="00434F44" w:rsidRDefault="00D82F00" w:rsidP="00D057DF">
      <w:pPr>
        <w:jc w:val="both"/>
        <w:rPr>
          <w:bCs/>
          <w:sz w:val="20"/>
          <w:szCs w:val="20"/>
        </w:rPr>
      </w:pPr>
      <w:r w:rsidRPr="00434F44">
        <w:rPr>
          <w:sz w:val="20"/>
          <w:szCs w:val="20"/>
        </w:rPr>
        <w:t>Tekintet nélkül a képzés megkezdésének időpontjára a doktori képzést követően vagy még a doktori képzés keretén belül külön fokozatszerzési eljárásban „Doctor of Philosophy” (rövidítve: PhD), illetve a művészeti képzésben „Doctor of Liberal Arts” (rövidítve: DLA) tudományos fokozatot lehet szerezni. A fokozatszerzési eljárás időtartama legfeljebb két év lehet.</w:t>
      </w:r>
    </w:p>
    <w:p w14:paraId="6A33FDEF" w14:textId="77777777" w:rsidR="00E82BD3" w:rsidRPr="00434F44" w:rsidRDefault="00E82BD3" w:rsidP="00EE3DBD">
      <w:pPr>
        <w:jc w:val="both"/>
        <w:rPr>
          <w:color w:val="FF0000"/>
          <w:sz w:val="20"/>
          <w:szCs w:val="20"/>
        </w:rPr>
      </w:pPr>
    </w:p>
    <w:p w14:paraId="67A1B168" w14:textId="77777777" w:rsidR="00EE3DBD" w:rsidRPr="00434F44" w:rsidRDefault="00EE3DBD" w:rsidP="00EE3DBD">
      <w:pPr>
        <w:jc w:val="both"/>
        <w:rPr>
          <w:sz w:val="20"/>
          <w:szCs w:val="20"/>
        </w:rPr>
      </w:pPr>
      <w:r w:rsidRPr="00434F44">
        <w:rPr>
          <w:sz w:val="20"/>
          <w:szCs w:val="20"/>
        </w:rPr>
        <w:t>8.5. Értékelési rendszer</w:t>
      </w:r>
    </w:p>
    <w:p w14:paraId="411FDF16" w14:textId="77777777" w:rsidR="00EE3DBD" w:rsidRPr="00434F44" w:rsidRDefault="00EE3DBD" w:rsidP="00EE3DBD">
      <w:pPr>
        <w:jc w:val="both"/>
        <w:rPr>
          <w:snapToGrid w:val="0"/>
          <w:sz w:val="20"/>
          <w:szCs w:val="20"/>
        </w:rPr>
      </w:pPr>
      <w:r w:rsidRPr="00434F44">
        <w:rPr>
          <w:snapToGrid w:val="0"/>
          <w:sz w:val="20"/>
          <w:szCs w:val="20"/>
        </w:rPr>
        <w:t>A hallgatók teljesítményének értékelése általában az ötfokozatú értékelési rendszer szerint jeles (5), jó (4), közepes (3), elégséges (2), elégtelen (1) minősítéssel vagy a</w:t>
      </w:r>
      <w:r w:rsidRPr="00434F44">
        <w:rPr>
          <w:i/>
          <w:snapToGrid w:val="0"/>
          <w:sz w:val="20"/>
          <w:szCs w:val="20"/>
        </w:rPr>
        <w:t xml:space="preserve"> </w:t>
      </w:r>
      <w:r w:rsidRPr="00434F44">
        <w:rPr>
          <w:snapToGrid w:val="0"/>
          <w:sz w:val="20"/>
          <w:szCs w:val="20"/>
        </w:rPr>
        <w:t>háromfokozatú rendszer szerint jól megfelelt (5), megfelelt (3), nem felelt meg (1) minősítéssel történik</w:t>
      </w:r>
      <w:r w:rsidR="005F645B" w:rsidRPr="00434F44">
        <w:rPr>
          <w:snapToGrid w:val="0"/>
          <w:sz w:val="20"/>
          <w:szCs w:val="20"/>
        </w:rPr>
        <w:t>. A</w:t>
      </w:r>
      <w:r w:rsidRPr="00434F44">
        <w:rPr>
          <w:snapToGrid w:val="0"/>
          <w:sz w:val="20"/>
          <w:szCs w:val="20"/>
        </w:rPr>
        <w:t xml:space="preserve"> felsőoktatási intézmények egyéb, az előzőekkel összevethető értékelési rendszert is </w:t>
      </w:r>
      <w:r w:rsidR="005F645B" w:rsidRPr="00434F44">
        <w:rPr>
          <w:snapToGrid w:val="0"/>
          <w:sz w:val="20"/>
          <w:szCs w:val="20"/>
        </w:rPr>
        <w:t>alkalmazhatnak</w:t>
      </w:r>
      <w:r w:rsidRPr="00434F44">
        <w:rPr>
          <w:snapToGrid w:val="0"/>
          <w:sz w:val="20"/>
          <w:szCs w:val="20"/>
        </w:rPr>
        <w:t>.</w:t>
      </w:r>
    </w:p>
    <w:p w14:paraId="7EBE35F1" w14:textId="77777777" w:rsidR="00387D2C" w:rsidRPr="00434F44" w:rsidRDefault="00387D2C">
      <w:pPr>
        <w:rPr>
          <w:snapToGrid w:val="0"/>
          <w:sz w:val="20"/>
          <w:szCs w:val="20"/>
        </w:rPr>
      </w:pPr>
    </w:p>
    <w:p w14:paraId="62284E6B" w14:textId="77777777" w:rsidR="00EE3DBD" w:rsidRPr="00434F44" w:rsidRDefault="00EE3DBD" w:rsidP="00EE3DBD">
      <w:pPr>
        <w:jc w:val="both"/>
        <w:rPr>
          <w:sz w:val="20"/>
          <w:szCs w:val="20"/>
        </w:rPr>
      </w:pPr>
      <w:r w:rsidRPr="00434F44">
        <w:rPr>
          <w:sz w:val="20"/>
          <w:szCs w:val="20"/>
        </w:rPr>
        <w:t>8.6. A felsőoktatási képzésre való felvétel</w:t>
      </w:r>
    </w:p>
    <w:p w14:paraId="3F55400E" w14:textId="77777777" w:rsidR="00EE3DBD" w:rsidRPr="00434F44" w:rsidRDefault="00EE3DBD" w:rsidP="00EE3DBD">
      <w:pPr>
        <w:jc w:val="both"/>
        <w:rPr>
          <w:sz w:val="20"/>
          <w:szCs w:val="20"/>
        </w:rPr>
      </w:pPr>
      <w:r w:rsidRPr="00434F44">
        <w:rPr>
          <w:sz w:val="20"/>
          <w:szCs w:val="20"/>
        </w:rPr>
        <w:t xml:space="preserve">A felsőoktatásba jelentkezőket </w:t>
      </w:r>
      <w:r w:rsidR="00F2253B" w:rsidRPr="00434F44">
        <w:rPr>
          <w:sz w:val="20"/>
          <w:szCs w:val="20"/>
        </w:rPr>
        <w:t xml:space="preserve">elsősorban a </w:t>
      </w:r>
      <w:r w:rsidRPr="00434F44">
        <w:rPr>
          <w:sz w:val="20"/>
          <w:szCs w:val="20"/>
        </w:rPr>
        <w:t>középiskolai osztályzataik és az érettségi vizsgán elért eredményeik vagy kizárólag ez utóbbi alapján rangsorolják. A felsőoktatási szakképzésre, az alapképzésre és az osztatlan képzésre történő felvétel feltétele a középiskola főszabályként 12. osztályának elvégzése után letett érettségi vizsga, amelyet az érettségi bizonyítvány igazol</w:t>
      </w:r>
      <w:r w:rsidR="00032FBD" w:rsidRPr="00434F44">
        <w:rPr>
          <w:sz w:val="20"/>
          <w:szCs w:val="20"/>
        </w:rPr>
        <w:t xml:space="preserve">. </w:t>
      </w:r>
      <w:r w:rsidRPr="00434F44">
        <w:rPr>
          <w:sz w:val="20"/>
          <w:szCs w:val="20"/>
        </w:rPr>
        <w:t>Egyes szakokon a felvétel egészségügyi, szakmai</w:t>
      </w:r>
      <w:r w:rsidR="005B3F0F" w:rsidRPr="00434F44">
        <w:rPr>
          <w:sz w:val="20"/>
          <w:szCs w:val="20"/>
        </w:rPr>
        <w:t xml:space="preserve"> vagy pálya</w:t>
      </w:r>
      <w:r w:rsidRPr="00434F44">
        <w:rPr>
          <w:sz w:val="20"/>
          <w:szCs w:val="20"/>
        </w:rPr>
        <w:t>alkalmassági követelmények teljesítéséhez köthető. Mesterképzésre az vehető fel, aki alapfokozatot szerzett. Szakirányú továbbképzésre alap- vagy mesterfokozattal lehet felvételt nyerni. Doktori képzésre az vehető fel, aki mesterfokozattal rendelkezik. A mesterképzésre, a szakirányú továbbképzésre és a doktori képzésre történő felvétel további feltételeit a felsőoktatási intézmények határozhatják meg.</w:t>
      </w:r>
    </w:p>
    <w:p w14:paraId="4487231D" w14:textId="77777777" w:rsidR="0048249F" w:rsidRPr="00434F44" w:rsidRDefault="0048249F" w:rsidP="00EE3DBD">
      <w:pPr>
        <w:jc w:val="both"/>
        <w:rPr>
          <w:sz w:val="20"/>
          <w:szCs w:val="20"/>
        </w:rPr>
      </w:pPr>
    </w:p>
    <w:p w14:paraId="0F5AFB10" w14:textId="77777777" w:rsidR="00EE3DBD" w:rsidRPr="00434F44" w:rsidRDefault="00EE3DBD" w:rsidP="00EE3DBD">
      <w:pPr>
        <w:jc w:val="both"/>
        <w:rPr>
          <w:sz w:val="20"/>
          <w:szCs w:val="20"/>
        </w:rPr>
      </w:pPr>
      <w:r w:rsidRPr="00434F44">
        <w:rPr>
          <w:sz w:val="20"/>
          <w:szCs w:val="20"/>
        </w:rPr>
        <w:t>8.7. További információk a magyar felsőoktatásról</w:t>
      </w:r>
    </w:p>
    <w:p w14:paraId="305E3B07" w14:textId="77777777" w:rsidR="00F94D9B" w:rsidRPr="00434F44" w:rsidRDefault="003D5A21" w:rsidP="00F94D9B">
      <w:pPr>
        <w:jc w:val="both"/>
        <w:rPr>
          <w:sz w:val="20"/>
          <w:szCs w:val="20"/>
        </w:rPr>
      </w:pPr>
      <w:r w:rsidRPr="00434F44">
        <w:rPr>
          <w:sz w:val="20"/>
          <w:szCs w:val="20"/>
        </w:rPr>
        <w:t>Magyar ENIC/NARIC Iroda</w:t>
      </w:r>
      <w:r w:rsidRPr="00434F44">
        <w:rPr>
          <w:rStyle w:val="Lbjegyzet-hivatkozs"/>
          <w:sz w:val="20"/>
          <w:szCs w:val="20"/>
        </w:rPr>
        <w:footnoteReference w:id="1"/>
      </w:r>
      <w:r w:rsidRPr="00434F44">
        <w:rPr>
          <w:sz w:val="20"/>
          <w:szCs w:val="20"/>
        </w:rPr>
        <w:t xml:space="preserve">, </w:t>
      </w:r>
      <w:r w:rsidR="00E748E7">
        <w:rPr>
          <w:sz w:val="20"/>
          <w:szCs w:val="20"/>
        </w:rPr>
        <w:t>Innovációs és Technológiai Minisztérium</w:t>
      </w:r>
      <w:r w:rsidR="00F379E6" w:rsidRPr="00434F44">
        <w:rPr>
          <w:rStyle w:val="Lbjegyzet-hivatkozs"/>
          <w:sz w:val="20"/>
          <w:szCs w:val="20"/>
        </w:rPr>
        <w:footnoteReference w:id="2"/>
      </w:r>
      <w:r w:rsidR="009763D6" w:rsidRPr="00434F44">
        <w:rPr>
          <w:sz w:val="20"/>
          <w:szCs w:val="20"/>
        </w:rPr>
        <w:t>,</w:t>
      </w:r>
      <w:r w:rsidR="00F379E6" w:rsidRPr="00434F44">
        <w:rPr>
          <w:sz w:val="20"/>
          <w:szCs w:val="20"/>
        </w:rPr>
        <w:t xml:space="preserve"> </w:t>
      </w:r>
      <w:r w:rsidR="00A32A22" w:rsidRPr="00434F44">
        <w:rPr>
          <w:sz w:val="20"/>
          <w:szCs w:val="20"/>
        </w:rPr>
        <w:t>Oktatási Hivatal</w:t>
      </w:r>
      <w:r w:rsidR="00A32A22" w:rsidRPr="00434F44">
        <w:rPr>
          <w:rStyle w:val="Lbjegyzet-hivatkozs"/>
          <w:sz w:val="20"/>
          <w:szCs w:val="20"/>
        </w:rPr>
        <w:footnoteReference w:id="3"/>
      </w:r>
      <w:r w:rsidR="00A32A22" w:rsidRPr="00434F44">
        <w:rPr>
          <w:sz w:val="20"/>
          <w:szCs w:val="20"/>
        </w:rPr>
        <w:t xml:space="preserve">, Magyar Felsőoktatási Akkreditációs </w:t>
      </w:r>
      <w:r w:rsidR="00BE29AF" w:rsidRPr="00434F44">
        <w:rPr>
          <w:sz w:val="20"/>
          <w:szCs w:val="20"/>
        </w:rPr>
        <w:t>Bizottság</w:t>
      </w:r>
      <w:r w:rsidR="00A32A22" w:rsidRPr="00434F44">
        <w:rPr>
          <w:rStyle w:val="Lbjegyzet-hivatkozs"/>
          <w:sz w:val="20"/>
          <w:szCs w:val="20"/>
        </w:rPr>
        <w:footnoteReference w:id="4"/>
      </w:r>
      <w:r w:rsidR="00D82F00" w:rsidRPr="00434F44">
        <w:rPr>
          <w:sz w:val="20"/>
          <w:szCs w:val="20"/>
        </w:rPr>
        <w:t>.</w:t>
      </w:r>
    </w:p>
    <w:p w14:paraId="2A0B4772" w14:textId="77777777" w:rsidR="00E748E7" w:rsidRDefault="00E748E7" w:rsidP="00A11177">
      <w:pPr>
        <w:contextualSpacing/>
        <w:jc w:val="both"/>
        <w:rPr>
          <w:sz w:val="20"/>
          <w:szCs w:val="20"/>
        </w:rPr>
      </w:pPr>
    </w:p>
    <w:p w14:paraId="0DC0BA55" w14:textId="77777777" w:rsidR="00E748E7" w:rsidRPr="00E748E7" w:rsidRDefault="005C19AC" w:rsidP="00A11177">
      <w:pPr>
        <w:contextualSpacing/>
        <w:jc w:val="both"/>
        <w:rPr>
          <w:sz w:val="32"/>
          <w:szCs w:val="32"/>
          <w:lang w:val="en-GB"/>
        </w:rPr>
      </w:pPr>
      <w:r w:rsidRPr="00434F44">
        <w:rPr>
          <w:sz w:val="20"/>
          <w:szCs w:val="20"/>
        </w:rPr>
        <w:br/>
      </w:r>
      <w:r w:rsidR="00A11177" w:rsidRPr="00E748E7">
        <w:rPr>
          <w:sz w:val="32"/>
          <w:szCs w:val="32"/>
          <w:lang w:val="en-GB"/>
        </w:rPr>
        <w:t xml:space="preserve">8. </w:t>
      </w:r>
      <w:r w:rsidR="00A11177" w:rsidRPr="00E748E7">
        <w:rPr>
          <w:caps/>
          <w:sz w:val="32"/>
          <w:szCs w:val="32"/>
          <w:lang w:val="en-GB"/>
        </w:rPr>
        <w:t>Information on the Hungarian Higher Education System</w:t>
      </w:r>
      <w:r w:rsidR="00A11177" w:rsidRPr="00E748E7">
        <w:rPr>
          <w:sz w:val="32"/>
          <w:szCs w:val="32"/>
          <w:lang w:val="en-GB"/>
        </w:rPr>
        <w:t xml:space="preserve"> </w:t>
      </w:r>
    </w:p>
    <w:p w14:paraId="35B90128" w14:textId="77777777" w:rsidR="00A11177" w:rsidRPr="00434F44" w:rsidRDefault="00A11177" w:rsidP="00A11177">
      <w:pPr>
        <w:contextualSpacing/>
        <w:jc w:val="both"/>
        <w:rPr>
          <w:sz w:val="20"/>
          <w:szCs w:val="20"/>
          <w:lang w:val="en-GB"/>
        </w:rPr>
      </w:pPr>
      <w:r w:rsidRPr="00434F44">
        <w:rPr>
          <w:sz w:val="20"/>
          <w:szCs w:val="20"/>
          <w:lang w:val="en-GB"/>
        </w:rPr>
        <w:t xml:space="preserve">(modified in </w:t>
      </w:r>
      <w:r w:rsidR="00E748E7">
        <w:rPr>
          <w:sz w:val="20"/>
          <w:szCs w:val="20"/>
          <w:lang w:val="en-GB"/>
        </w:rPr>
        <w:t>April 2020</w:t>
      </w:r>
      <w:r w:rsidRPr="00434F44">
        <w:rPr>
          <w:sz w:val="20"/>
          <w:szCs w:val="20"/>
          <w:lang w:val="en-GB"/>
        </w:rPr>
        <w:t>)</w:t>
      </w:r>
    </w:p>
    <w:p w14:paraId="156E30CD" w14:textId="77777777" w:rsidR="00A11177" w:rsidRPr="00434F44" w:rsidRDefault="00A11177" w:rsidP="00A11177">
      <w:pPr>
        <w:contextualSpacing/>
        <w:jc w:val="both"/>
        <w:rPr>
          <w:sz w:val="20"/>
          <w:szCs w:val="20"/>
          <w:lang w:val="en-GB"/>
        </w:rPr>
      </w:pPr>
    </w:p>
    <w:p w14:paraId="3F52F713" w14:textId="77777777" w:rsidR="00A11177" w:rsidRPr="00434F44" w:rsidRDefault="00A11177" w:rsidP="00A11177">
      <w:pPr>
        <w:contextualSpacing/>
        <w:jc w:val="both"/>
        <w:rPr>
          <w:sz w:val="20"/>
          <w:szCs w:val="20"/>
          <w:lang w:val="en-GB"/>
        </w:rPr>
      </w:pPr>
      <w:r w:rsidRPr="00434F44">
        <w:rPr>
          <w:sz w:val="20"/>
          <w:szCs w:val="20"/>
          <w:lang w:val="en-GB"/>
        </w:rPr>
        <w:t>8.1. Types of Institutions and Institutional Control</w:t>
      </w:r>
    </w:p>
    <w:p w14:paraId="6CDD5C21" w14:textId="77777777" w:rsidR="00A11177" w:rsidRPr="00FD467A" w:rsidRDefault="00A11177" w:rsidP="00A11177">
      <w:pPr>
        <w:contextualSpacing/>
        <w:jc w:val="both"/>
        <w:rPr>
          <w:sz w:val="20"/>
          <w:szCs w:val="20"/>
          <w:lang w:val="en-GB"/>
        </w:rPr>
      </w:pPr>
      <w:r w:rsidRPr="00FD467A">
        <w:rPr>
          <w:sz w:val="20"/>
          <w:szCs w:val="20"/>
          <w:lang w:val="en-GB"/>
        </w:rPr>
        <w:t>The establishment and operation of higher education institutions are regulated by Act No. 204 of 2011 (National Higher Education Act). Operating within the legal framework of the National Higher Education Act, Hungarian higher education institutions are recognized state (public) or non-state (church or private) institutions. The list of recognized institutions is indicated in Annex 1 of the National Higher Education Act. Higher education studies are offered at two types of higher education institutions, egyetem (university) and főiskola (college). Universities and colleges may offer courses in all three training cycles. The programmes are identical at both types of institutions.</w:t>
      </w:r>
    </w:p>
    <w:p w14:paraId="03246217" w14:textId="77777777" w:rsidR="00A11177" w:rsidRPr="00FD467A" w:rsidRDefault="00A11177" w:rsidP="00A11177">
      <w:pPr>
        <w:contextualSpacing/>
        <w:jc w:val="both"/>
        <w:rPr>
          <w:sz w:val="20"/>
          <w:szCs w:val="20"/>
          <w:lang w:val="en-GB"/>
        </w:rPr>
      </w:pPr>
    </w:p>
    <w:p w14:paraId="25D3C8D3" w14:textId="77777777" w:rsidR="00A11177" w:rsidRPr="00FD467A" w:rsidRDefault="00A11177" w:rsidP="00A11177">
      <w:pPr>
        <w:contextualSpacing/>
        <w:jc w:val="both"/>
        <w:rPr>
          <w:sz w:val="20"/>
          <w:szCs w:val="20"/>
          <w:lang w:val="en-GB"/>
        </w:rPr>
      </w:pPr>
      <w:r w:rsidRPr="00FD467A">
        <w:rPr>
          <w:sz w:val="20"/>
          <w:szCs w:val="20"/>
          <w:lang w:val="en-GB"/>
        </w:rPr>
        <w:t xml:space="preserve">8.2. </w:t>
      </w:r>
      <w:r w:rsidRPr="00FD467A">
        <w:rPr>
          <w:bCs/>
          <w:sz w:val="20"/>
          <w:szCs w:val="20"/>
          <w:lang w:val="en-GB"/>
        </w:rPr>
        <w:t>Types of Programmes and Degrees Awarded</w:t>
      </w:r>
    </w:p>
    <w:p w14:paraId="48CC1089" w14:textId="77777777" w:rsidR="00A11177" w:rsidRPr="00FD467A" w:rsidRDefault="00A11177" w:rsidP="00A11177">
      <w:pPr>
        <w:contextualSpacing/>
        <w:jc w:val="both"/>
        <w:rPr>
          <w:sz w:val="20"/>
          <w:szCs w:val="20"/>
          <w:lang w:val="en-GB"/>
        </w:rPr>
      </w:pPr>
      <w:r w:rsidRPr="00FD467A">
        <w:rPr>
          <w:sz w:val="20"/>
          <w:szCs w:val="20"/>
          <w:lang w:val="en-GB"/>
        </w:rPr>
        <w:t xml:space="preserve">The consecutive training cycles of higher education leading to a higher education degree are </w:t>
      </w:r>
      <w:r w:rsidRPr="00FD467A">
        <w:rPr>
          <w:iCs/>
          <w:sz w:val="20"/>
          <w:szCs w:val="20"/>
          <w:lang w:val="en-GB"/>
        </w:rPr>
        <w:t xml:space="preserve">alapképzés </w:t>
      </w:r>
      <w:r w:rsidRPr="00FD467A">
        <w:rPr>
          <w:sz w:val="20"/>
          <w:szCs w:val="20"/>
          <w:lang w:val="en-GB"/>
        </w:rPr>
        <w:t xml:space="preserve">(Bachelor course), </w:t>
      </w:r>
      <w:r w:rsidRPr="00FD467A">
        <w:rPr>
          <w:iCs/>
          <w:sz w:val="20"/>
          <w:szCs w:val="20"/>
          <w:lang w:val="en-GB"/>
        </w:rPr>
        <w:t xml:space="preserve">mesterképzés </w:t>
      </w:r>
      <w:r w:rsidRPr="00FD467A">
        <w:rPr>
          <w:sz w:val="20"/>
          <w:szCs w:val="20"/>
          <w:lang w:val="en-GB"/>
        </w:rPr>
        <w:t xml:space="preserve">(Master course) and </w:t>
      </w:r>
      <w:r w:rsidRPr="00FD467A">
        <w:rPr>
          <w:iCs/>
          <w:sz w:val="20"/>
          <w:szCs w:val="20"/>
          <w:lang w:val="en-GB"/>
        </w:rPr>
        <w:t xml:space="preserve">doktori képzés </w:t>
      </w:r>
      <w:r w:rsidRPr="00FD467A">
        <w:rPr>
          <w:sz w:val="20"/>
          <w:szCs w:val="20"/>
          <w:lang w:val="en-GB"/>
        </w:rPr>
        <w:t>(Doctoral course). In cases set by government decree or legislation, Master degrees can also be awarded after the completion of integrated, one-tier training.</w:t>
      </w:r>
    </w:p>
    <w:p w14:paraId="57A325FE" w14:textId="77777777" w:rsidR="00A11177" w:rsidRPr="00434F44" w:rsidRDefault="00A11177" w:rsidP="00A11177">
      <w:pPr>
        <w:contextualSpacing/>
        <w:jc w:val="both"/>
        <w:rPr>
          <w:sz w:val="20"/>
          <w:szCs w:val="20"/>
          <w:lang w:val="en-GB"/>
        </w:rPr>
      </w:pPr>
    </w:p>
    <w:p w14:paraId="28F57364" w14:textId="77777777" w:rsidR="00A11177" w:rsidRPr="00434F44" w:rsidRDefault="00A11177" w:rsidP="00A11177">
      <w:pPr>
        <w:contextualSpacing/>
        <w:jc w:val="both"/>
        <w:rPr>
          <w:sz w:val="20"/>
          <w:szCs w:val="20"/>
          <w:lang w:val="en-GB"/>
        </w:rPr>
      </w:pPr>
      <w:r w:rsidRPr="00434F44">
        <w:rPr>
          <w:sz w:val="20"/>
          <w:szCs w:val="20"/>
          <w:lang w:val="en-GB"/>
        </w:rPr>
        <w:t>In addition to the aforementioned, higher education institutions may conduct non-degree vocational higher education programmes and postgraduate specialist trainings and may offer adult education within the framework of lifelong learning as well.</w:t>
      </w:r>
    </w:p>
    <w:p w14:paraId="6B588F4E" w14:textId="77777777" w:rsidR="00A11177" w:rsidRPr="00434F44" w:rsidRDefault="00A11177" w:rsidP="00A11177">
      <w:pPr>
        <w:contextualSpacing/>
        <w:jc w:val="both"/>
        <w:rPr>
          <w:sz w:val="20"/>
          <w:szCs w:val="20"/>
          <w:lang w:val="en-GB"/>
        </w:rPr>
      </w:pPr>
    </w:p>
    <w:p w14:paraId="3F7E8438" w14:textId="77777777" w:rsidR="00A11177" w:rsidRPr="00434F44" w:rsidRDefault="00A11177" w:rsidP="00A11177">
      <w:pPr>
        <w:contextualSpacing/>
        <w:jc w:val="both"/>
        <w:rPr>
          <w:sz w:val="20"/>
          <w:szCs w:val="20"/>
          <w:lang w:val="en-GB"/>
        </w:rPr>
      </w:pPr>
      <w:r w:rsidRPr="00434F44">
        <w:rPr>
          <w:sz w:val="20"/>
          <w:szCs w:val="20"/>
          <w:lang w:val="en-GB"/>
        </w:rPr>
        <w:t>Higher education institutions apply a credit system based on the European Credit Transfer and Accumulation System. Accordingly, one credit stands for an average of 30 hours of student workload.</w:t>
      </w:r>
    </w:p>
    <w:p w14:paraId="73A32CEF" w14:textId="77777777" w:rsidR="00A11177" w:rsidRPr="00434F44" w:rsidRDefault="00A11177" w:rsidP="00A11177">
      <w:pPr>
        <w:contextualSpacing/>
        <w:jc w:val="both"/>
        <w:rPr>
          <w:sz w:val="20"/>
          <w:szCs w:val="20"/>
          <w:lang w:val="en-GB"/>
        </w:rPr>
      </w:pPr>
    </w:p>
    <w:p w14:paraId="55FFCFCC" w14:textId="77777777" w:rsidR="00A11177" w:rsidRPr="00434F44" w:rsidRDefault="00A11177" w:rsidP="00A11177">
      <w:pPr>
        <w:contextualSpacing/>
        <w:jc w:val="both"/>
        <w:rPr>
          <w:sz w:val="20"/>
          <w:szCs w:val="20"/>
          <w:lang w:val="en-GB"/>
        </w:rPr>
      </w:pPr>
      <w:r w:rsidRPr="00434F44">
        <w:rPr>
          <w:sz w:val="20"/>
          <w:szCs w:val="20"/>
          <w:lang w:val="en-GB"/>
        </w:rPr>
        <w:t>8.3. Approval/Accreditation of Programmes and Degrees</w:t>
      </w:r>
    </w:p>
    <w:p w14:paraId="51D3B26E" w14:textId="77777777" w:rsidR="00A11177" w:rsidRPr="00434F44" w:rsidRDefault="00A11177" w:rsidP="00A11177">
      <w:pPr>
        <w:contextualSpacing/>
        <w:jc w:val="both"/>
        <w:rPr>
          <w:sz w:val="20"/>
          <w:szCs w:val="20"/>
          <w:lang w:val="en-GB"/>
        </w:rPr>
      </w:pPr>
      <w:r w:rsidRPr="00434F44">
        <w:rPr>
          <w:sz w:val="20"/>
          <w:szCs w:val="20"/>
          <w:lang w:val="en-GB"/>
        </w:rPr>
        <w:t>In the case of each vocational higher education programme, Bachelor and Master course, the programme and outcome requirements are set in legal regulations, i.e. the level of the training, the professional qualification that can be obtained and all the competencies the  acquisition of which are the preconditions for obtaining the diploma in the given programme.</w:t>
      </w:r>
    </w:p>
    <w:p w14:paraId="41710053" w14:textId="77777777" w:rsidR="00A11177" w:rsidRPr="00434F44" w:rsidRDefault="00A11177" w:rsidP="00A11177">
      <w:pPr>
        <w:contextualSpacing/>
        <w:jc w:val="both"/>
        <w:rPr>
          <w:sz w:val="20"/>
          <w:szCs w:val="20"/>
          <w:lang w:val="en-GB"/>
        </w:rPr>
      </w:pPr>
    </w:p>
    <w:p w14:paraId="27264C3E" w14:textId="77777777" w:rsidR="00A11177" w:rsidRPr="00434F44" w:rsidRDefault="00A11177" w:rsidP="00A11177">
      <w:pPr>
        <w:contextualSpacing/>
        <w:jc w:val="both"/>
        <w:rPr>
          <w:sz w:val="20"/>
          <w:szCs w:val="20"/>
          <w:lang w:val="en-GB"/>
        </w:rPr>
      </w:pPr>
      <w:r w:rsidRPr="00434F44">
        <w:rPr>
          <w:sz w:val="20"/>
          <w:szCs w:val="20"/>
          <w:lang w:val="en-GB"/>
        </w:rPr>
        <w:t>Upon request of the higher education institution, the Educational Authority – after having obtained the expert opinion of the Hungarian Accreditation Committee – licenses and registers the launching of all vocational higher education programmes, a Bachelor or Master courses or Doctoral schools. Also, the operating licenses of higher education institutions are revised by the Educational Authority in every 5 years, taking into account the expert opinion of the Hungarian Accreditation Committee. The above mentioned procedures apply for all recognized, state or non-state higher education institutions, except for religious studies, since the Hungarian Accreditation Committee and the Educational Authority have no competence over the quality assurance in this field. In the case of religious studies only the requirements in respect of infrastructure can be examined.</w:t>
      </w:r>
    </w:p>
    <w:p w14:paraId="0347A312" w14:textId="77777777" w:rsidR="00A11177" w:rsidRPr="00434F44" w:rsidRDefault="00A11177" w:rsidP="00A11177">
      <w:pPr>
        <w:contextualSpacing/>
        <w:jc w:val="both"/>
        <w:rPr>
          <w:sz w:val="20"/>
          <w:szCs w:val="20"/>
          <w:lang w:val="en-GB"/>
        </w:rPr>
      </w:pPr>
    </w:p>
    <w:p w14:paraId="6E479405" w14:textId="77777777" w:rsidR="00A11177" w:rsidRPr="00434F44" w:rsidRDefault="00A11177" w:rsidP="00A11177">
      <w:pPr>
        <w:contextualSpacing/>
        <w:jc w:val="both"/>
        <w:rPr>
          <w:sz w:val="20"/>
          <w:szCs w:val="20"/>
          <w:lang w:val="en-GB"/>
        </w:rPr>
      </w:pPr>
      <w:r w:rsidRPr="00434F44">
        <w:rPr>
          <w:sz w:val="20"/>
          <w:szCs w:val="20"/>
          <w:lang w:val="en-GB"/>
        </w:rPr>
        <w:t xml:space="preserve">8.4. </w:t>
      </w:r>
      <w:r w:rsidRPr="00434F44">
        <w:rPr>
          <w:bCs/>
          <w:sz w:val="20"/>
          <w:szCs w:val="20"/>
          <w:lang w:val="en-GB"/>
        </w:rPr>
        <w:t>Organisation of Studies</w:t>
      </w:r>
    </w:p>
    <w:p w14:paraId="4B0683A5" w14:textId="77777777" w:rsidR="00A11177" w:rsidRPr="00434F44" w:rsidRDefault="00A11177" w:rsidP="00A11177">
      <w:pPr>
        <w:contextualSpacing/>
        <w:jc w:val="both"/>
        <w:rPr>
          <w:sz w:val="20"/>
          <w:szCs w:val="20"/>
          <w:lang w:val="en-GB"/>
        </w:rPr>
      </w:pPr>
      <w:r w:rsidRPr="00434F44">
        <w:rPr>
          <w:sz w:val="20"/>
          <w:szCs w:val="20"/>
          <w:lang w:val="en-GB"/>
        </w:rPr>
        <w:t>Students studying in vocational higher education programmes, Bachelor and Master courses, as well as postgraduate specialist trainings complete their studies by passing a final examination. The final examination may consist of the defen</w:t>
      </w:r>
      <w:r w:rsidRPr="00434F44">
        <w:rPr>
          <w:sz w:val="20"/>
          <w:szCs w:val="20"/>
          <w:lang w:val="en-US"/>
        </w:rPr>
        <w:t>s</w:t>
      </w:r>
      <w:r w:rsidRPr="00434F44">
        <w:rPr>
          <w:sz w:val="20"/>
          <w:szCs w:val="20"/>
          <w:lang w:val="en-GB"/>
        </w:rPr>
        <w:t xml:space="preserve">e of the degree thesis or diploma project, and additional oral, written or practical examinations. </w:t>
      </w:r>
    </w:p>
    <w:p w14:paraId="53F53D36" w14:textId="77777777" w:rsidR="00A11177" w:rsidRPr="00434F44" w:rsidRDefault="00A11177" w:rsidP="00A11177">
      <w:pPr>
        <w:contextualSpacing/>
        <w:jc w:val="both"/>
        <w:rPr>
          <w:sz w:val="20"/>
          <w:szCs w:val="20"/>
          <w:lang w:val="en-GB"/>
        </w:rPr>
      </w:pPr>
    </w:p>
    <w:p w14:paraId="023A2C85" w14:textId="77777777" w:rsidR="00A11177" w:rsidRPr="00434F44" w:rsidRDefault="00A11177" w:rsidP="00A11177">
      <w:pPr>
        <w:contextualSpacing/>
        <w:jc w:val="both"/>
        <w:rPr>
          <w:sz w:val="20"/>
          <w:szCs w:val="20"/>
          <w:lang w:val="en-GB"/>
        </w:rPr>
      </w:pPr>
      <w:r w:rsidRPr="00434F44">
        <w:rPr>
          <w:sz w:val="20"/>
          <w:szCs w:val="20"/>
          <w:lang w:val="en-GB"/>
        </w:rPr>
        <w:t>8.4.1. Vocational Higher Education Programmes</w:t>
      </w:r>
    </w:p>
    <w:p w14:paraId="0CCA8D03" w14:textId="77777777" w:rsidR="00A11177" w:rsidRPr="00434F44" w:rsidRDefault="00A11177" w:rsidP="00A11177">
      <w:pPr>
        <w:contextualSpacing/>
        <w:jc w:val="both"/>
        <w:rPr>
          <w:sz w:val="20"/>
          <w:szCs w:val="20"/>
          <w:lang w:val="en-GB"/>
        </w:rPr>
      </w:pPr>
      <w:r w:rsidRPr="00434F44">
        <w:rPr>
          <w:sz w:val="20"/>
          <w:szCs w:val="20"/>
          <w:lang w:val="en-US"/>
        </w:rPr>
        <w:t xml:space="preserve">The diploma </w:t>
      </w:r>
      <w:r w:rsidRPr="00434F44">
        <w:rPr>
          <w:sz w:val="20"/>
          <w:szCs w:val="20"/>
          <w:lang w:val="en-GB"/>
        </w:rPr>
        <w:t>obtained on completion of a vocational higher education programme testifies a vocational higher education qualification, but it is not per se an academic degree. A vocational higher education programme requires the completion of at least 120 credits, and the duration of the programme is a minimum of 4 semesters.</w:t>
      </w:r>
    </w:p>
    <w:p w14:paraId="51906363" w14:textId="77777777" w:rsidR="00A11177" w:rsidRPr="00434F44" w:rsidRDefault="00A11177" w:rsidP="00A11177">
      <w:pPr>
        <w:contextualSpacing/>
        <w:jc w:val="both"/>
        <w:rPr>
          <w:sz w:val="20"/>
          <w:szCs w:val="20"/>
          <w:lang w:val="en-GB"/>
        </w:rPr>
      </w:pPr>
    </w:p>
    <w:p w14:paraId="2B41BFBF" w14:textId="77777777" w:rsidR="00A11177" w:rsidRPr="00434F44" w:rsidRDefault="00A11177" w:rsidP="00A11177">
      <w:pPr>
        <w:contextualSpacing/>
        <w:jc w:val="both"/>
        <w:rPr>
          <w:sz w:val="20"/>
          <w:szCs w:val="20"/>
          <w:lang w:val="en-GB"/>
        </w:rPr>
      </w:pPr>
      <w:r w:rsidRPr="00434F44">
        <w:rPr>
          <w:sz w:val="20"/>
          <w:szCs w:val="20"/>
          <w:lang w:val="en-GB"/>
        </w:rPr>
        <w:t xml:space="preserve">8.4.2. </w:t>
      </w:r>
      <w:r w:rsidRPr="00434F44">
        <w:rPr>
          <w:bCs/>
          <w:sz w:val="20"/>
          <w:szCs w:val="20"/>
          <w:lang w:val="en-GB"/>
        </w:rPr>
        <w:t>First/Second Cycle Degree Programmes</w:t>
      </w:r>
    </w:p>
    <w:p w14:paraId="1465D76F" w14:textId="77777777" w:rsidR="00A11177" w:rsidRPr="00FD467A" w:rsidRDefault="00A11177" w:rsidP="00A11177">
      <w:pPr>
        <w:contextualSpacing/>
        <w:jc w:val="both"/>
        <w:rPr>
          <w:sz w:val="20"/>
          <w:szCs w:val="20"/>
          <w:lang w:val="en-GB"/>
        </w:rPr>
      </w:pPr>
      <w:r w:rsidRPr="00434F44">
        <w:rPr>
          <w:sz w:val="20"/>
          <w:szCs w:val="20"/>
          <w:lang w:val="en-GB"/>
        </w:rPr>
        <w:t xml:space="preserve">The first higher education degree </w:t>
      </w:r>
      <w:r w:rsidRPr="00FD467A">
        <w:rPr>
          <w:sz w:val="20"/>
          <w:szCs w:val="20"/>
          <w:lang w:val="en-GB"/>
        </w:rPr>
        <w:t>is the alapfokozat (Bachelor degree) ending in a professional qualification. A Bachelor course requires the completion of 180 to 240 credits. The length of the programme is 6-8 semesters.</w:t>
      </w:r>
    </w:p>
    <w:p w14:paraId="22067705" w14:textId="77777777" w:rsidR="00A11177" w:rsidRPr="00FD467A" w:rsidRDefault="00A11177" w:rsidP="00A11177">
      <w:pPr>
        <w:contextualSpacing/>
        <w:jc w:val="both"/>
        <w:rPr>
          <w:sz w:val="20"/>
          <w:szCs w:val="20"/>
          <w:lang w:val="en-GB"/>
        </w:rPr>
      </w:pPr>
    </w:p>
    <w:p w14:paraId="6D10CF68" w14:textId="77777777" w:rsidR="00A11177" w:rsidRPr="00FD467A" w:rsidRDefault="00A11177" w:rsidP="00A11177">
      <w:pPr>
        <w:contextualSpacing/>
        <w:jc w:val="both"/>
        <w:rPr>
          <w:sz w:val="20"/>
          <w:szCs w:val="20"/>
          <w:lang w:val="en-GB"/>
        </w:rPr>
      </w:pPr>
      <w:r w:rsidRPr="00FD467A">
        <w:rPr>
          <w:sz w:val="20"/>
          <w:szCs w:val="20"/>
          <w:lang w:val="en-GB"/>
        </w:rPr>
        <w:t>The second higher education degree is the mesterfokozat (Master degree) ending in a professional qualification. Based on a Bachelor course, Master courses require the completion of 60 to 120 credits. The length of the programme is 2-4 semesters.</w:t>
      </w:r>
    </w:p>
    <w:p w14:paraId="38F1CBC2" w14:textId="77777777" w:rsidR="00A11177" w:rsidRPr="00FD467A" w:rsidRDefault="00A11177" w:rsidP="00A11177">
      <w:pPr>
        <w:contextualSpacing/>
        <w:jc w:val="both"/>
        <w:rPr>
          <w:sz w:val="20"/>
          <w:szCs w:val="20"/>
          <w:lang w:val="en-GB"/>
        </w:rPr>
      </w:pPr>
    </w:p>
    <w:p w14:paraId="2F22986F" w14:textId="77777777" w:rsidR="00A11177" w:rsidRPr="00FD467A" w:rsidRDefault="00A11177" w:rsidP="00A11177">
      <w:pPr>
        <w:contextualSpacing/>
        <w:jc w:val="both"/>
        <w:rPr>
          <w:sz w:val="20"/>
          <w:szCs w:val="20"/>
          <w:lang w:val="en-GB"/>
        </w:rPr>
      </w:pPr>
      <w:r w:rsidRPr="00FD467A">
        <w:rPr>
          <w:sz w:val="20"/>
          <w:szCs w:val="20"/>
          <w:lang w:val="en-GB"/>
        </w:rPr>
        <w:t>8.4.3. Integrated Programmes</w:t>
      </w:r>
    </w:p>
    <w:p w14:paraId="5D3EB4B0" w14:textId="77777777" w:rsidR="00A11177" w:rsidRPr="00FD467A" w:rsidRDefault="00A11177" w:rsidP="00A11177">
      <w:pPr>
        <w:autoSpaceDE w:val="0"/>
        <w:autoSpaceDN w:val="0"/>
        <w:adjustRightInd w:val="0"/>
        <w:contextualSpacing/>
        <w:jc w:val="both"/>
        <w:rPr>
          <w:sz w:val="20"/>
          <w:szCs w:val="20"/>
          <w:lang w:val="en-GB"/>
        </w:rPr>
      </w:pPr>
      <w:r w:rsidRPr="00FD467A">
        <w:rPr>
          <w:sz w:val="20"/>
          <w:szCs w:val="20"/>
          <w:lang w:val="en-GB"/>
        </w:rPr>
        <w:t>The integrated, one-tier programmes, which are based on the secondary school leaving examination (érettségi vizsga), lead to mesterfokozat (Master degree), have the length of 10-12 semesters and require the completion of 300 to 360 credits. Besides teacher education, religious studies and some programmes of arts, e. g. the following programmes are offered as integrated programmes: veterinary medicine, architecture, dentistry, pharmaceutics, law and medicine.</w:t>
      </w:r>
    </w:p>
    <w:p w14:paraId="49A6A006" w14:textId="77777777" w:rsidR="00A11177" w:rsidRPr="00434F44" w:rsidRDefault="00A11177" w:rsidP="00A11177">
      <w:pPr>
        <w:autoSpaceDE w:val="0"/>
        <w:autoSpaceDN w:val="0"/>
        <w:adjustRightInd w:val="0"/>
        <w:contextualSpacing/>
        <w:jc w:val="both"/>
        <w:rPr>
          <w:sz w:val="20"/>
          <w:szCs w:val="20"/>
          <w:lang w:val="en-GB"/>
        </w:rPr>
      </w:pPr>
    </w:p>
    <w:p w14:paraId="1855E916" w14:textId="77777777" w:rsidR="00A11177" w:rsidRPr="00434F44" w:rsidRDefault="00A11177" w:rsidP="00A11177">
      <w:pPr>
        <w:contextualSpacing/>
        <w:jc w:val="both"/>
        <w:rPr>
          <w:sz w:val="20"/>
          <w:szCs w:val="20"/>
          <w:lang w:val="en-GB"/>
        </w:rPr>
      </w:pPr>
      <w:r w:rsidRPr="00434F44">
        <w:rPr>
          <w:sz w:val="20"/>
          <w:szCs w:val="20"/>
          <w:lang w:val="en-GB"/>
        </w:rPr>
        <w:t xml:space="preserve">8.4.4. </w:t>
      </w:r>
      <w:r w:rsidRPr="00434F44">
        <w:rPr>
          <w:bCs/>
          <w:sz w:val="20"/>
          <w:szCs w:val="20"/>
          <w:lang w:val="en-GB"/>
        </w:rPr>
        <w:t>Specialised Graduate Studies</w:t>
      </w:r>
    </w:p>
    <w:p w14:paraId="32DBC1D7" w14:textId="77777777" w:rsidR="00A11177" w:rsidRPr="00434F44" w:rsidRDefault="00A11177" w:rsidP="00A11177">
      <w:pPr>
        <w:autoSpaceDE w:val="0"/>
        <w:autoSpaceDN w:val="0"/>
        <w:adjustRightInd w:val="0"/>
        <w:contextualSpacing/>
        <w:jc w:val="both"/>
        <w:rPr>
          <w:sz w:val="20"/>
          <w:szCs w:val="20"/>
          <w:lang w:val="en-GB"/>
        </w:rPr>
      </w:pPr>
      <w:r w:rsidRPr="00434F44">
        <w:rPr>
          <w:sz w:val="20"/>
          <w:szCs w:val="20"/>
          <w:lang w:val="en-GB"/>
        </w:rPr>
        <w:t xml:space="preserve">Higher education institutions may also offer </w:t>
      </w:r>
      <w:r w:rsidRPr="00434F44">
        <w:rPr>
          <w:i/>
          <w:sz w:val="20"/>
          <w:szCs w:val="20"/>
          <w:lang w:val="en-GB"/>
        </w:rPr>
        <w:t>szakirányú továbbképzés</w:t>
      </w:r>
      <w:r w:rsidRPr="00434F44">
        <w:rPr>
          <w:sz w:val="20"/>
          <w:szCs w:val="20"/>
          <w:lang w:val="en-GB"/>
        </w:rPr>
        <w:t xml:space="preserve"> (postgraduate specialist training) for Bachelor and Master degree holders in this type of a training. Through the completion of 60 to 120 credits a specialised qualification can be obtained. The length of the programme is 2-4 semesters.</w:t>
      </w:r>
    </w:p>
    <w:p w14:paraId="33A82E92" w14:textId="77777777" w:rsidR="00A11177" w:rsidRPr="00434F44" w:rsidRDefault="00A11177" w:rsidP="00A11177">
      <w:pPr>
        <w:autoSpaceDE w:val="0"/>
        <w:autoSpaceDN w:val="0"/>
        <w:adjustRightInd w:val="0"/>
        <w:contextualSpacing/>
        <w:jc w:val="both"/>
        <w:rPr>
          <w:sz w:val="20"/>
          <w:szCs w:val="20"/>
          <w:lang w:val="en-GB"/>
        </w:rPr>
      </w:pPr>
    </w:p>
    <w:p w14:paraId="560F6C3B" w14:textId="77777777" w:rsidR="00A11177" w:rsidRPr="00434F44" w:rsidRDefault="00A11177" w:rsidP="00A11177">
      <w:pPr>
        <w:autoSpaceDE w:val="0"/>
        <w:autoSpaceDN w:val="0"/>
        <w:adjustRightInd w:val="0"/>
        <w:contextualSpacing/>
        <w:jc w:val="both"/>
        <w:rPr>
          <w:sz w:val="20"/>
          <w:szCs w:val="20"/>
          <w:lang w:val="en-US"/>
        </w:rPr>
      </w:pPr>
      <w:r w:rsidRPr="00434F44">
        <w:rPr>
          <w:sz w:val="20"/>
          <w:szCs w:val="20"/>
          <w:lang w:val="en-GB"/>
        </w:rPr>
        <w:t>8.4.5. Doctoral Programmes</w:t>
      </w:r>
      <w:r w:rsidRPr="00434F44">
        <w:rPr>
          <w:sz w:val="20"/>
          <w:szCs w:val="20"/>
          <w:lang w:val="en-US"/>
        </w:rPr>
        <w:t xml:space="preserve"> </w:t>
      </w:r>
    </w:p>
    <w:p w14:paraId="28B8016E" w14:textId="77777777" w:rsidR="00A11177" w:rsidRPr="00434F44" w:rsidRDefault="00A11177" w:rsidP="00A11177">
      <w:pPr>
        <w:autoSpaceDE w:val="0"/>
        <w:autoSpaceDN w:val="0"/>
        <w:adjustRightInd w:val="0"/>
        <w:contextualSpacing/>
        <w:jc w:val="both"/>
        <w:rPr>
          <w:sz w:val="20"/>
          <w:szCs w:val="20"/>
          <w:lang w:val="en-GB"/>
        </w:rPr>
      </w:pPr>
      <w:r w:rsidRPr="00434F44">
        <w:rPr>
          <w:sz w:val="20"/>
          <w:szCs w:val="20"/>
          <w:lang w:val="en-GB"/>
        </w:rPr>
        <w:t xml:space="preserve">Doctoral courses that began before 1 September 2016 require the completion of at least 180 credits. The duration of the programme is 36 months. </w:t>
      </w:r>
    </w:p>
    <w:p w14:paraId="361BA550" w14:textId="77777777" w:rsidR="00A11177" w:rsidRPr="00434F44" w:rsidRDefault="00A11177" w:rsidP="00A11177">
      <w:pPr>
        <w:autoSpaceDE w:val="0"/>
        <w:autoSpaceDN w:val="0"/>
        <w:adjustRightInd w:val="0"/>
        <w:contextualSpacing/>
        <w:jc w:val="both"/>
        <w:rPr>
          <w:sz w:val="20"/>
          <w:szCs w:val="20"/>
          <w:lang w:val="en-GB"/>
        </w:rPr>
      </w:pPr>
    </w:p>
    <w:p w14:paraId="5DA1CB6C" w14:textId="77777777" w:rsidR="00A11177" w:rsidRPr="00434F44" w:rsidRDefault="00A11177" w:rsidP="00A11177">
      <w:pPr>
        <w:autoSpaceDE w:val="0"/>
        <w:autoSpaceDN w:val="0"/>
        <w:adjustRightInd w:val="0"/>
        <w:contextualSpacing/>
        <w:jc w:val="both"/>
        <w:rPr>
          <w:sz w:val="20"/>
          <w:szCs w:val="20"/>
          <w:lang w:val="en-GB"/>
        </w:rPr>
      </w:pPr>
      <w:r w:rsidRPr="00434F44">
        <w:rPr>
          <w:sz w:val="20"/>
          <w:szCs w:val="20"/>
          <w:lang w:val="en-GB"/>
        </w:rPr>
        <w:t xml:space="preserve">Doctoral courses beginning after 1 September 2016 require the completion of at least 240 credits. The duration of the programme is 8 semesters. During the programme, at the end of the fourth semester a complex examination must be completed. The doctoral thesis must be submitted within three years after the completion of the examination. </w:t>
      </w:r>
    </w:p>
    <w:p w14:paraId="2305D483" w14:textId="77777777" w:rsidR="00A11177" w:rsidRPr="00434F44" w:rsidRDefault="00A11177" w:rsidP="00A11177">
      <w:pPr>
        <w:autoSpaceDE w:val="0"/>
        <w:autoSpaceDN w:val="0"/>
        <w:adjustRightInd w:val="0"/>
        <w:contextualSpacing/>
        <w:jc w:val="both"/>
        <w:rPr>
          <w:sz w:val="20"/>
          <w:szCs w:val="20"/>
          <w:lang w:val="en-GB"/>
        </w:rPr>
      </w:pPr>
    </w:p>
    <w:p w14:paraId="31B67D1B" w14:textId="77777777" w:rsidR="00A11177" w:rsidRPr="00434F44" w:rsidRDefault="00A11177" w:rsidP="00A11177">
      <w:pPr>
        <w:autoSpaceDE w:val="0"/>
        <w:autoSpaceDN w:val="0"/>
        <w:adjustRightInd w:val="0"/>
        <w:contextualSpacing/>
        <w:jc w:val="both"/>
        <w:rPr>
          <w:sz w:val="20"/>
          <w:szCs w:val="20"/>
          <w:lang w:val="en-GB"/>
        </w:rPr>
      </w:pPr>
      <w:r w:rsidRPr="00434F44">
        <w:rPr>
          <w:sz w:val="20"/>
          <w:szCs w:val="20"/>
          <w:lang w:val="en-GB"/>
        </w:rPr>
        <w:lastRenderedPageBreak/>
        <w:t xml:space="preserve">Regardless the date of entering a doctoral course, either within the framework of the doctoral </w:t>
      </w:r>
      <w:r w:rsidRPr="00434F44">
        <w:rPr>
          <w:sz w:val="20"/>
          <w:szCs w:val="20"/>
          <w:lang w:val="en-US"/>
        </w:rPr>
        <w:t xml:space="preserve">course </w:t>
      </w:r>
      <w:r w:rsidRPr="00434F44">
        <w:rPr>
          <w:sz w:val="20"/>
          <w:szCs w:val="20"/>
          <w:lang w:val="en-GB"/>
        </w:rPr>
        <w:t>or following it, through a separate degree obtaining procedure, the scientific degree “Doctor of Philosophy” (abbreviated as PhD), or in the field of art “Doctor of Liberal Arts” (abbreviated as DLA) may be obtained. The maximum duration of the degree obtaining procedure is 2 years.</w:t>
      </w:r>
    </w:p>
    <w:p w14:paraId="40EA54A4" w14:textId="77777777" w:rsidR="00A11177" w:rsidRPr="00434F44" w:rsidRDefault="00A11177" w:rsidP="00A11177">
      <w:pPr>
        <w:autoSpaceDE w:val="0"/>
        <w:autoSpaceDN w:val="0"/>
        <w:adjustRightInd w:val="0"/>
        <w:contextualSpacing/>
        <w:jc w:val="both"/>
        <w:rPr>
          <w:sz w:val="20"/>
          <w:szCs w:val="20"/>
          <w:lang w:val="en-GB"/>
        </w:rPr>
      </w:pPr>
    </w:p>
    <w:p w14:paraId="78BDFDA1" w14:textId="77777777" w:rsidR="00A11177" w:rsidRPr="00FD467A" w:rsidRDefault="00A11177" w:rsidP="00A11177">
      <w:pPr>
        <w:contextualSpacing/>
        <w:jc w:val="both"/>
        <w:rPr>
          <w:sz w:val="20"/>
          <w:szCs w:val="20"/>
          <w:lang w:val="en-GB"/>
        </w:rPr>
      </w:pPr>
      <w:r w:rsidRPr="00FD467A">
        <w:rPr>
          <w:sz w:val="20"/>
          <w:szCs w:val="20"/>
          <w:lang w:val="en-GB"/>
        </w:rPr>
        <w:t>8.5. Grading Scheme</w:t>
      </w:r>
    </w:p>
    <w:p w14:paraId="2BB7F277" w14:textId="77777777" w:rsidR="00A11177" w:rsidRPr="00FD467A" w:rsidRDefault="00A11177" w:rsidP="00A11177">
      <w:pPr>
        <w:contextualSpacing/>
        <w:jc w:val="both"/>
        <w:rPr>
          <w:sz w:val="20"/>
          <w:szCs w:val="20"/>
          <w:lang w:val="en-GB"/>
        </w:rPr>
      </w:pPr>
      <w:r w:rsidRPr="00FD467A">
        <w:rPr>
          <w:sz w:val="20"/>
          <w:szCs w:val="20"/>
          <w:lang w:val="en-GB"/>
        </w:rPr>
        <w:t>The performance of students is generally assessed following a five-grade scale: excellent (5), good (4), satisfactory (3), pass (2), and fail (1) or a three-grade scale: pass with merit (5), pass (3), and unsatisfactory (1). Nevertheless, higher education institutions may also use other systems for assessment if they are comparable to those mentioned above.</w:t>
      </w:r>
    </w:p>
    <w:p w14:paraId="4ADD8523" w14:textId="77777777" w:rsidR="00A11177" w:rsidRPr="00FD467A" w:rsidRDefault="00A11177" w:rsidP="00A11177">
      <w:pPr>
        <w:contextualSpacing/>
        <w:jc w:val="both"/>
        <w:rPr>
          <w:sz w:val="20"/>
          <w:szCs w:val="20"/>
          <w:lang w:val="en-GB"/>
        </w:rPr>
      </w:pPr>
    </w:p>
    <w:p w14:paraId="2F497B9D" w14:textId="77777777" w:rsidR="00A11177" w:rsidRPr="00FD467A" w:rsidRDefault="00A11177" w:rsidP="00A11177">
      <w:pPr>
        <w:contextualSpacing/>
        <w:jc w:val="both"/>
        <w:rPr>
          <w:sz w:val="20"/>
          <w:szCs w:val="20"/>
          <w:lang w:val="en-GB"/>
        </w:rPr>
      </w:pPr>
      <w:r w:rsidRPr="00FD467A">
        <w:rPr>
          <w:sz w:val="20"/>
          <w:szCs w:val="20"/>
          <w:lang w:val="en-GB"/>
        </w:rPr>
        <w:t>8.6. Access to Higher Education Programmes</w:t>
      </w:r>
    </w:p>
    <w:p w14:paraId="3117FF17" w14:textId="77777777" w:rsidR="00A11177" w:rsidRPr="00FD467A" w:rsidRDefault="00A11177" w:rsidP="00A11177">
      <w:pPr>
        <w:contextualSpacing/>
        <w:jc w:val="both"/>
        <w:rPr>
          <w:sz w:val="20"/>
          <w:szCs w:val="20"/>
          <w:lang w:val="en-GB"/>
        </w:rPr>
      </w:pPr>
      <w:r w:rsidRPr="00FD467A">
        <w:rPr>
          <w:sz w:val="20"/>
          <w:szCs w:val="20"/>
          <w:lang w:val="en-GB"/>
        </w:rPr>
        <w:t xml:space="preserve">The ranking of students applying for higher education programmes is primarily based on their secondary school grades and their </w:t>
      </w:r>
      <w:r w:rsidRPr="00FD467A">
        <w:rPr>
          <w:iCs/>
          <w:sz w:val="20"/>
          <w:szCs w:val="20"/>
          <w:lang w:val="en-GB"/>
        </w:rPr>
        <w:t xml:space="preserve">érettségi vizsga </w:t>
      </w:r>
      <w:r w:rsidRPr="00FD467A">
        <w:rPr>
          <w:sz w:val="20"/>
          <w:szCs w:val="20"/>
          <w:lang w:val="en-GB"/>
        </w:rPr>
        <w:t xml:space="preserve">(secondary school leaving examination) results or based solely on the latter. The requirement for admission to vocational higher education programmes, Bachelor and integrated Master courses is the secondary school leaving examination taken – as a rule – after the completion of the 12th grade of a secondary school, certified by the </w:t>
      </w:r>
      <w:r w:rsidRPr="00FD467A">
        <w:rPr>
          <w:iCs/>
          <w:sz w:val="20"/>
          <w:szCs w:val="20"/>
          <w:lang w:val="en-GB"/>
        </w:rPr>
        <w:t xml:space="preserve">Érettségi bizonyítvány </w:t>
      </w:r>
      <w:r w:rsidRPr="00FD467A">
        <w:rPr>
          <w:sz w:val="20"/>
          <w:szCs w:val="20"/>
          <w:lang w:val="en-GB"/>
        </w:rPr>
        <w:t>(secondary school leaving certificate). The admission to certain programmes may also be based on health or professional requirements or aptitude tests. To Master courses students holding a Bachelor degree can be admitted. To postgraduate specialist trainings students holding a Bachelor or a Master degree may be admitted. To Doctoral courses only applicants holding a Master degree can be admitted. Higher education institutions may set additional requirements for admission to Master, postgraduate specialist and Doctoral courses.</w:t>
      </w:r>
    </w:p>
    <w:p w14:paraId="00A1F305" w14:textId="77777777" w:rsidR="00A11177" w:rsidRPr="00FD467A" w:rsidRDefault="00A11177" w:rsidP="00A11177">
      <w:pPr>
        <w:contextualSpacing/>
        <w:jc w:val="both"/>
        <w:rPr>
          <w:sz w:val="20"/>
          <w:szCs w:val="20"/>
          <w:lang w:val="en-GB"/>
        </w:rPr>
      </w:pPr>
    </w:p>
    <w:p w14:paraId="5FF4BC3D" w14:textId="77777777" w:rsidR="00A11177" w:rsidRPr="00FD467A" w:rsidRDefault="00A11177" w:rsidP="00A11177">
      <w:pPr>
        <w:contextualSpacing/>
        <w:jc w:val="both"/>
        <w:rPr>
          <w:sz w:val="20"/>
          <w:szCs w:val="20"/>
          <w:lang w:val="en-GB"/>
        </w:rPr>
      </w:pPr>
      <w:r w:rsidRPr="00FD467A">
        <w:rPr>
          <w:sz w:val="20"/>
          <w:szCs w:val="20"/>
          <w:lang w:val="en-GB"/>
        </w:rPr>
        <w:t>8.7. Additional Sources of Information</w:t>
      </w:r>
    </w:p>
    <w:p w14:paraId="4AE65D8E" w14:textId="77777777" w:rsidR="00A11177" w:rsidRPr="00FD467A" w:rsidRDefault="00A11177" w:rsidP="00A11177">
      <w:pPr>
        <w:contextualSpacing/>
        <w:jc w:val="both"/>
        <w:rPr>
          <w:sz w:val="20"/>
          <w:szCs w:val="20"/>
          <w:lang w:val="en-US"/>
        </w:rPr>
      </w:pPr>
      <w:r w:rsidRPr="00FD467A">
        <w:rPr>
          <w:sz w:val="20"/>
          <w:szCs w:val="20"/>
          <w:lang w:val="en-GB"/>
        </w:rPr>
        <w:t>Hungarian ENIC/NARIC</w:t>
      </w:r>
      <w:r w:rsidRPr="00FD467A">
        <w:rPr>
          <w:rStyle w:val="Lbjegyzet-hivatkozs"/>
          <w:sz w:val="20"/>
          <w:szCs w:val="20"/>
          <w:lang w:val="en-GB"/>
        </w:rPr>
        <w:footnoteReference w:id="5"/>
      </w:r>
      <w:r w:rsidRPr="00FD467A">
        <w:rPr>
          <w:sz w:val="20"/>
          <w:szCs w:val="20"/>
          <w:lang w:val="en-GB"/>
        </w:rPr>
        <w:t xml:space="preserve">, Ministry </w:t>
      </w:r>
      <w:r w:rsidR="00FD467A">
        <w:rPr>
          <w:sz w:val="20"/>
          <w:szCs w:val="20"/>
          <w:lang w:val="en-GB"/>
        </w:rPr>
        <w:t>for Innovation and Technology</w:t>
      </w:r>
      <w:r w:rsidRPr="00FD467A">
        <w:rPr>
          <w:rStyle w:val="Lbjegyzet-hivatkozs"/>
          <w:sz w:val="20"/>
          <w:szCs w:val="20"/>
          <w:lang w:val="en-GB"/>
        </w:rPr>
        <w:footnoteReference w:id="6"/>
      </w:r>
      <w:r w:rsidRPr="00FD467A">
        <w:rPr>
          <w:sz w:val="20"/>
          <w:szCs w:val="20"/>
          <w:lang w:val="en-GB"/>
        </w:rPr>
        <w:t>, Educational Authority</w:t>
      </w:r>
      <w:r w:rsidRPr="00FD467A">
        <w:rPr>
          <w:rStyle w:val="Lbjegyzet-hivatkozs"/>
          <w:sz w:val="20"/>
          <w:szCs w:val="20"/>
          <w:lang w:val="en-GB"/>
        </w:rPr>
        <w:footnoteReference w:id="7"/>
      </w:r>
      <w:r w:rsidRPr="00FD467A">
        <w:rPr>
          <w:sz w:val="20"/>
          <w:szCs w:val="20"/>
          <w:lang w:val="en-GB"/>
        </w:rPr>
        <w:t>, Hungarian Accreditation Commit</w:t>
      </w:r>
      <w:r w:rsidRPr="00FD467A">
        <w:rPr>
          <w:sz w:val="20"/>
          <w:szCs w:val="20"/>
          <w:lang w:val="en-US"/>
        </w:rPr>
        <w:t>tee</w:t>
      </w:r>
      <w:r w:rsidRPr="00FD467A">
        <w:rPr>
          <w:rStyle w:val="Lbjegyzet-hivatkozs"/>
          <w:sz w:val="20"/>
          <w:szCs w:val="20"/>
          <w:lang w:val="en-US"/>
        </w:rPr>
        <w:footnoteReference w:id="8"/>
      </w:r>
      <w:r w:rsidRPr="00FD467A">
        <w:rPr>
          <w:sz w:val="20"/>
          <w:szCs w:val="20"/>
          <w:lang w:val="en-US"/>
        </w:rPr>
        <w:t xml:space="preserve">, </w:t>
      </w:r>
    </w:p>
    <w:p w14:paraId="029FFD63" w14:textId="77777777" w:rsidR="005C19AC" w:rsidRPr="00FD467A" w:rsidRDefault="005C19AC" w:rsidP="00F94D9B">
      <w:pPr>
        <w:jc w:val="both"/>
        <w:rPr>
          <w:sz w:val="20"/>
          <w:szCs w:val="20"/>
        </w:rPr>
      </w:pPr>
    </w:p>
    <w:sectPr w:rsidR="005C19AC" w:rsidRPr="00FD467A">
      <w:headerReference w:type="even" r:id="rId7"/>
      <w:headerReference w:type="default" r:id="rId8"/>
      <w:pgSz w:w="11906" w:h="16838"/>
      <w:pgMar w:top="1134" w:right="1361" w:bottom="1134"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23AE" w14:textId="77777777" w:rsidR="007D4C90" w:rsidRDefault="007D4C90">
      <w:r>
        <w:separator/>
      </w:r>
    </w:p>
  </w:endnote>
  <w:endnote w:type="continuationSeparator" w:id="0">
    <w:p w14:paraId="3746372D" w14:textId="77777777" w:rsidR="007D4C90" w:rsidRDefault="007D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688D" w14:textId="77777777" w:rsidR="007D4C90" w:rsidRDefault="007D4C90">
      <w:r>
        <w:separator/>
      </w:r>
    </w:p>
  </w:footnote>
  <w:footnote w:type="continuationSeparator" w:id="0">
    <w:p w14:paraId="68B45208" w14:textId="77777777" w:rsidR="007D4C90" w:rsidRDefault="007D4C90">
      <w:r>
        <w:continuationSeparator/>
      </w:r>
    </w:p>
  </w:footnote>
  <w:footnote w:id="1">
    <w:p w14:paraId="2B39DF5C" w14:textId="77777777" w:rsidR="00D50AD3" w:rsidRPr="009D7ACD" w:rsidRDefault="0005663A">
      <w:pPr>
        <w:pStyle w:val="Lbjegyzetszveg"/>
        <w:rPr>
          <w:sz w:val="18"/>
          <w:szCs w:val="18"/>
        </w:rPr>
      </w:pPr>
      <w:r w:rsidRPr="009D7ACD">
        <w:rPr>
          <w:rStyle w:val="Lbjegyzet-hivatkozs"/>
          <w:sz w:val="18"/>
          <w:szCs w:val="18"/>
        </w:rPr>
        <w:footnoteRef/>
      </w:r>
      <w:r w:rsidRPr="009D7ACD">
        <w:rPr>
          <w:sz w:val="18"/>
          <w:szCs w:val="18"/>
        </w:rPr>
        <w:t xml:space="preserve"> Honlap: </w:t>
      </w:r>
      <w:hyperlink r:id="rId1" w:history="1">
        <w:r w:rsidR="00D50AD3" w:rsidRPr="00735A89">
          <w:rPr>
            <w:rStyle w:val="Hiperhivatkozs"/>
            <w:sz w:val="18"/>
            <w:szCs w:val="18"/>
          </w:rPr>
          <w:t>www.ekvivalencia.hu</w:t>
        </w:r>
      </w:hyperlink>
    </w:p>
  </w:footnote>
  <w:footnote w:id="2">
    <w:p w14:paraId="663AA104" w14:textId="77777777" w:rsidR="00D50AD3" w:rsidRPr="009D7ACD" w:rsidRDefault="0005663A" w:rsidP="00F379E6">
      <w:pPr>
        <w:pStyle w:val="Lbjegyzetszveg"/>
        <w:rPr>
          <w:sz w:val="18"/>
          <w:szCs w:val="18"/>
        </w:rPr>
      </w:pPr>
      <w:r w:rsidRPr="009D7ACD">
        <w:rPr>
          <w:rStyle w:val="Lbjegyzet-hivatkozs"/>
          <w:sz w:val="18"/>
          <w:szCs w:val="18"/>
        </w:rPr>
        <w:footnoteRef/>
      </w:r>
      <w:r w:rsidRPr="009D7ACD">
        <w:rPr>
          <w:sz w:val="18"/>
          <w:szCs w:val="18"/>
        </w:rPr>
        <w:t xml:space="preserve"> Honlap: </w:t>
      </w:r>
      <w:hyperlink r:id="rId2" w:history="1">
        <w:r w:rsidR="009D1297" w:rsidRPr="009D1297">
          <w:rPr>
            <w:rStyle w:val="Hiperhivatkozs"/>
            <w:sz w:val="18"/>
            <w:szCs w:val="18"/>
          </w:rPr>
          <w:t>www.kormany.hu/hu/innovacios-es-technologiai</w:t>
        </w:r>
      </w:hyperlink>
      <w:r w:rsidR="00FD467A">
        <w:rPr>
          <w:sz w:val="18"/>
          <w:szCs w:val="18"/>
          <w:u w:val="single"/>
        </w:rPr>
        <w:t>-</w:t>
      </w:r>
      <w:r w:rsidR="009D1297" w:rsidRPr="009D1297">
        <w:rPr>
          <w:sz w:val="18"/>
          <w:szCs w:val="18"/>
          <w:u w:val="single"/>
        </w:rPr>
        <w:t>miniszterium</w:t>
      </w:r>
    </w:p>
  </w:footnote>
  <w:footnote w:id="3">
    <w:p w14:paraId="723FF310" w14:textId="77777777" w:rsidR="00D50AD3" w:rsidRPr="009D7ACD" w:rsidRDefault="0005663A">
      <w:pPr>
        <w:pStyle w:val="Lbjegyzetszveg"/>
        <w:rPr>
          <w:sz w:val="18"/>
          <w:szCs w:val="18"/>
        </w:rPr>
      </w:pPr>
      <w:r w:rsidRPr="009D7ACD">
        <w:rPr>
          <w:rStyle w:val="Lbjegyzet-hivatkozs"/>
          <w:sz w:val="18"/>
          <w:szCs w:val="18"/>
        </w:rPr>
        <w:footnoteRef/>
      </w:r>
      <w:r w:rsidRPr="009D7ACD">
        <w:rPr>
          <w:sz w:val="18"/>
          <w:szCs w:val="18"/>
        </w:rPr>
        <w:t xml:space="preserve"> Honlap: </w:t>
      </w:r>
      <w:hyperlink r:id="rId3" w:history="1">
        <w:r w:rsidR="00D50AD3" w:rsidRPr="00735A89">
          <w:rPr>
            <w:rStyle w:val="Hiperhivatkozs"/>
            <w:sz w:val="18"/>
            <w:szCs w:val="18"/>
          </w:rPr>
          <w:t>www.oktatas.hu</w:t>
        </w:r>
      </w:hyperlink>
      <w:r w:rsidR="00D50AD3">
        <w:rPr>
          <w:sz w:val="18"/>
          <w:szCs w:val="18"/>
        </w:rPr>
        <w:t xml:space="preserve">, </w:t>
      </w:r>
      <w:hyperlink r:id="rId4" w:history="1">
        <w:r w:rsidR="00D50AD3" w:rsidRPr="00735A89">
          <w:rPr>
            <w:rStyle w:val="Hiperhivatkozs"/>
            <w:sz w:val="18"/>
            <w:szCs w:val="18"/>
          </w:rPr>
          <w:t>www.felvi.hu</w:t>
        </w:r>
      </w:hyperlink>
    </w:p>
  </w:footnote>
  <w:footnote w:id="4">
    <w:p w14:paraId="1A5C9A23" w14:textId="77777777" w:rsidR="0005663A" w:rsidRDefault="0005663A">
      <w:pPr>
        <w:pStyle w:val="Lbjegyzetszveg"/>
        <w:rPr>
          <w:sz w:val="18"/>
          <w:szCs w:val="18"/>
        </w:rPr>
      </w:pPr>
      <w:r w:rsidRPr="009D7ACD">
        <w:rPr>
          <w:rStyle w:val="Lbjegyzet-hivatkozs"/>
          <w:sz w:val="18"/>
          <w:szCs w:val="18"/>
        </w:rPr>
        <w:footnoteRef/>
      </w:r>
      <w:r w:rsidRPr="009D7ACD">
        <w:rPr>
          <w:sz w:val="18"/>
          <w:szCs w:val="18"/>
        </w:rPr>
        <w:t xml:space="preserve">Honlap: </w:t>
      </w:r>
      <w:hyperlink r:id="rId5" w:history="1">
        <w:r w:rsidR="00D50AD3" w:rsidRPr="00735A89">
          <w:rPr>
            <w:rStyle w:val="Hiperhivatkozs"/>
            <w:sz w:val="18"/>
            <w:szCs w:val="18"/>
          </w:rPr>
          <w:t>www.mab.hu</w:t>
        </w:r>
      </w:hyperlink>
    </w:p>
    <w:p w14:paraId="6D91E4CA" w14:textId="77777777" w:rsidR="00D50AD3" w:rsidRPr="009D7ACD" w:rsidRDefault="00D50AD3">
      <w:pPr>
        <w:pStyle w:val="Lbjegyzetszveg"/>
        <w:rPr>
          <w:sz w:val="18"/>
          <w:szCs w:val="18"/>
        </w:rPr>
      </w:pPr>
    </w:p>
  </w:footnote>
  <w:footnote w:id="5">
    <w:p w14:paraId="1102FC71" w14:textId="77777777" w:rsidR="00A11177" w:rsidRPr="009D7ACD" w:rsidRDefault="00A11177" w:rsidP="00A11177">
      <w:pPr>
        <w:pStyle w:val="Lbjegyzetszveg"/>
        <w:rPr>
          <w:sz w:val="18"/>
          <w:szCs w:val="18"/>
        </w:rPr>
      </w:pPr>
      <w:r w:rsidRPr="009D7ACD">
        <w:rPr>
          <w:rStyle w:val="Lbjegyzet-hivatkozs"/>
          <w:sz w:val="18"/>
          <w:szCs w:val="18"/>
        </w:rPr>
        <w:footnoteRef/>
      </w:r>
      <w:r w:rsidRPr="009D7ACD">
        <w:rPr>
          <w:sz w:val="18"/>
          <w:szCs w:val="18"/>
        </w:rPr>
        <w:t xml:space="preserve"> </w:t>
      </w:r>
      <w:r>
        <w:rPr>
          <w:sz w:val="18"/>
          <w:szCs w:val="18"/>
        </w:rPr>
        <w:t>Web site</w:t>
      </w:r>
      <w:r w:rsidRPr="009D7ACD">
        <w:rPr>
          <w:sz w:val="18"/>
          <w:szCs w:val="18"/>
        </w:rPr>
        <w:t xml:space="preserve">: </w:t>
      </w:r>
      <w:hyperlink r:id="rId6" w:history="1">
        <w:r w:rsidRPr="00735A89">
          <w:rPr>
            <w:rStyle w:val="Hiperhivatkozs"/>
            <w:sz w:val="18"/>
            <w:szCs w:val="18"/>
          </w:rPr>
          <w:t>www.naric.hu</w:t>
        </w:r>
      </w:hyperlink>
    </w:p>
  </w:footnote>
  <w:footnote w:id="6">
    <w:p w14:paraId="3A9B339F" w14:textId="77777777" w:rsidR="00A11177" w:rsidRPr="009D7ACD" w:rsidRDefault="00A11177" w:rsidP="00A11177">
      <w:pPr>
        <w:pStyle w:val="Lbjegyzetszveg"/>
        <w:rPr>
          <w:sz w:val="18"/>
          <w:szCs w:val="18"/>
        </w:rPr>
      </w:pPr>
      <w:r w:rsidRPr="009D7ACD">
        <w:rPr>
          <w:rStyle w:val="Lbjegyzet-hivatkozs"/>
          <w:sz w:val="18"/>
          <w:szCs w:val="18"/>
        </w:rPr>
        <w:footnoteRef/>
      </w:r>
      <w:r w:rsidRPr="009D7ACD">
        <w:rPr>
          <w:sz w:val="18"/>
          <w:szCs w:val="18"/>
        </w:rPr>
        <w:t xml:space="preserve"> </w:t>
      </w:r>
      <w:r>
        <w:rPr>
          <w:sz w:val="18"/>
          <w:szCs w:val="18"/>
        </w:rPr>
        <w:t>Web site</w:t>
      </w:r>
      <w:r w:rsidRPr="009D7ACD">
        <w:rPr>
          <w:sz w:val="18"/>
          <w:szCs w:val="18"/>
        </w:rPr>
        <w:t xml:space="preserve">: </w:t>
      </w:r>
      <w:hyperlink r:id="rId7" w:history="1">
        <w:r w:rsidR="00601D4E" w:rsidRPr="00524DA1">
          <w:rPr>
            <w:rStyle w:val="Hiperhivatkozs"/>
            <w:sz w:val="18"/>
            <w:szCs w:val="18"/>
          </w:rPr>
          <w:t>www.kormany.hu/hu/</w:t>
        </w:r>
      </w:hyperlink>
      <w:r w:rsidR="00FD467A">
        <w:rPr>
          <w:rStyle w:val="Hiperhivatkozs"/>
          <w:sz w:val="18"/>
          <w:szCs w:val="18"/>
        </w:rPr>
        <w:t>innovacios-estechnologiai-miniszterium</w:t>
      </w:r>
    </w:p>
  </w:footnote>
  <w:footnote w:id="7">
    <w:p w14:paraId="6F1839EB" w14:textId="77777777" w:rsidR="00A11177" w:rsidRPr="009D7ACD" w:rsidRDefault="00A11177" w:rsidP="00A11177">
      <w:pPr>
        <w:pStyle w:val="Lbjegyzetszveg"/>
        <w:rPr>
          <w:sz w:val="18"/>
          <w:szCs w:val="18"/>
        </w:rPr>
      </w:pPr>
      <w:r w:rsidRPr="009D7ACD">
        <w:rPr>
          <w:rStyle w:val="Lbjegyzet-hivatkozs"/>
          <w:sz w:val="18"/>
          <w:szCs w:val="18"/>
        </w:rPr>
        <w:footnoteRef/>
      </w:r>
      <w:r w:rsidRPr="009D7ACD">
        <w:rPr>
          <w:sz w:val="18"/>
          <w:szCs w:val="18"/>
        </w:rPr>
        <w:t xml:space="preserve"> </w:t>
      </w:r>
      <w:r>
        <w:rPr>
          <w:sz w:val="18"/>
          <w:szCs w:val="18"/>
        </w:rPr>
        <w:t>Web site</w:t>
      </w:r>
      <w:r w:rsidRPr="009D7ACD">
        <w:rPr>
          <w:sz w:val="18"/>
          <w:szCs w:val="18"/>
        </w:rPr>
        <w:t xml:space="preserve">: </w:t>
      </w:r>
      <w:hyperlink r:id="rId8" w:history="1">
        <w:r w:rsidRPr="00635129">
          <w:rPr>
            <w:rStyle w:val="Hiperhivatkozs"/>
            <w:sz w:val="18"/>
            <w:szCs w:val="18"/>
          </w:rPr>
          <w:t>www.oktatas.hu</w:t>
        </w:r>
      </w:hyperlink>
      <w:r>
        <w:rPr>
          <w:sz w:val="18"/>
          <w:szCs w:val="18"/>
        </w:rPr>
        <w:t xml:space="preserve">, </w:t>
      </w:r>
      <w:hyperlink r:id="rId9" w:history="1">
        <w:r w:rsidRPr="00735A89">
          <w:rPr>
            <w:rStyle w:val="Hiperhivatkozs"/>
            <w:sz w:val="18"/>
            <w:szCs w:val="18"/>
          </w:rPr>
          <w:t>www.felvi.hu</w:t>
        </w:r>
      </w:hyperlink>
    </w:p>
  </w:footnote>
  <w:footnote w:id="8">
    <w:p w14:paraId="0F72E070" w14:textId="77777777" w:rsidR="00A11177" w:rsidRPr="009D7ACD" w:rsidRDefault="00A11177" w:rsidP="00A11177">
      <w:pPr>
        <w:pStyle w:val="Lbjegyzetszveg"/>
        <w:rPr>
          <w:sz w:val="18"/>
          <w:szCs w:val="18"/>
        </w:rPr>
      </w:pPr>
      <w:r w:rsidRPr="009D7ACD">
        <w:rPr>
          <w:rStyle w:val="Lbjegyzet-hivatkozs"/>
          <w:sz w:val="18"/>
          <w:szCs w:val="18"/>
        </w:rPr>
        <w:footnoteRef/>
      </w:r>
      <w:r w:rsidRPr="009D7ACD">
        <w:rPr>
          <w:sz w:val="18"/>
          <w:szCs w:val="18"/>
        </w:rPr>
        <w:t xml:space="preserve"> </w:t>
      </w:r>
      <w:r>
        <w:rPr>
          <w:sz w:val="18"/>
          <w:szCs w:val="18"/>
        </w:rPr>
        <w:t>Web site</w:t>
      </w:r>
      <w:r w:rsidRPr="009D7ACD">
        <w:rPr>
          <w:sz w:val="18"/>
          <w:szCs w:val="18"/>
        </w:rPr>
        <w:t xml:space="preserve">: </w:t>
      </w:r>
      <w:hyperlink r:id="rId10" w:history="1">
        <w:r w:rsidRPr="00735A89">
          <w:rPr>
            <w:rStyle w:val="Hiperhivatkozs"/>
            <w:sz w:val="18"/>
            <w:szCs w:val="18"/>
          </w:rPr>
          <w:t>www.mab.hu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0799" w14:textId="77777777" w:rsidR="0005663A" w:rsidRDefault="0005663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19033E7E" w14:textId="77777777" w:rsidR="0005663A" w:rsidRDefault="0005663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F8C0" w14:textId="77777777" w:rsidR="0005663A" w:rsidRDefault="0005663A">
    <w:pPr>
      <w:pStyle w:val="lfej"/>
      <w:framePr w:wrap="around" w:vAnchor="text" w:hAnchor="margin" w:xAlign="center" w:y="1"/>
      <w:rPr>
        <w:rStyle w:val="Oldalszm"/>
      </w:rPr>
    </w:pPr>
  </w:p>
  <w:p w14:paraId="7D5AE1C5" w14:textId="77777777" w:rsidR="0005663A" w:rsidRDefault="00473C8A">
    <w:pPr>
      <w:pStyle w:val="lfej"/>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2A"/>
    <w:rsid w:val="00012932"/>
    <w:rsid w:val="00032FBD"/>
    <w:rsid w:val="0005663A"/>
    <w:rsid w:val="00091D5B"/>
    <w:rsid w:val="000B4E96"/>
    <w:rsid w:val="0013723A"/>
    <w:rsid w:val="00185E38"/>
    <w:rsid w:val="001A713C"/>
    <w:rsid w:val="001E602B"/>
    <w:rsid w:val="00212F6C"/>
    <w:rsid w:val="002210D5"/>
    <w:rsid w:val="00221A6A"/>
    <w:rsid w:val="00244E53"/>
    <w:rsid w:val="00260ABF"/>
    <w:rsid w:val="00263DB7"/>
    <w:rsid w:val="002B108A"/>
    <w:rsid w:val="002D54C8"/>
    <w:rsid w:val="002D6A4C"/>
    <w:rsid w:val="002F669D"/>
    <w:rsid w:val="00302044"/>
    <w:rsid w:val="0033376E"/>
    <w:rsid w:val="00387D2C"/>
    <w:rsid w:val="0039768A"/>
    <w:rsid w:val="003B6F4F"/>
    <w:rsid w:val="003D5A21"/>
    <w:rsid w:val="003E1567"/>
    <w:rsid w:val="00402C82"/>
    <w:rsid w:val="00411C24"/>
    <w:rsid w:val="00412820"/>
    <w:rsid w:val="00434F44"/>
    <w:rsid w:val="004430FE"/>
    <w:rsid w:val="00444B0F"/>
    <w:rsid w:val="00450672"/>
    <w:rsid w:val="00452BBA"/>
    <w:rsid w:val="00453C0A"/>
    <w:rsid w:val="00466B7F"/>
    <w:rsid w:val="00473C8A"/>
    <w:rsid w:val="0048249F"/>
    <w:rsid w:val="004978CC"/>
    <w:rsid w:val="004B564B"/>
    <w:rsid w:val="004B6E9C"/>
    <w:rsid w:val="004C7537"/>
    <w:rsid w:val="004E6D52"/>
    <w:rsid w:val="005031B9"/>
    <w:rsid w:val="00517E40"/>
    <w:rsid w:val="00531CCD"/>
    <w:rsid w:val="005971B0"/>
    <w:rsid w:val="005A3B8B"/>
    <w:rsid w:val="005B3F0F"/>
    <w:rsid w:val="005B40F8"/>
    <w:rsid w:val="005C19AC"/>
    <w:rsid w:val="005F645B"/>
    <w:rsid w:val="00601D4E"/>
    <w:rsid w:val="006061CD"/>
    <w:rsid w:val="00623786"/>
    <w:rsid w:val="0066036E"/>
    <w:rsid w:val="006A4B35"/>
    <w:rsid w:val="006A7DDD"/>
    <w:rsid w:val="006B07E5"/>
    <w:rsid w:val="006D5345"/>
    <w:rsid w:val="00714AA3"/>
    <w:rsid w:val="00723B0E"/>
    <w:rsid w:val="00775551"/>
    <w:rsid w:val="0077609F"/>
    <w:rsid w:val="00791A2B"/>
    <w:rsid w:val="007B2D1D"/>
    <w:rsid w:val="007B65CF"/>
    <w:rsid w:val="007C4D2C"/>
    <w:rsid w:val="007D4C90"/>
    <w:rsid w:val="007F2564"/>
    <w:rsid w:val="00823BBE"/>
    <w:rsid w:val="008637C9"/>
    <w:rsid w:val="00863E7C"/>
    <w:rsid w:val="00887711"/>
    <w:rsid w:val="008C508E"/>
    <w:rsid w:val="008D1199"/>
    <w:rsid w:val="008D245F"/>
    <w:rsid w:val="0092311C"/>
    <w:rsid w:val="009466A0"/>
    <w:rsid w:val="009763D6"/>
    <w:rsid w:val="009779C5"/>
    <w:rsid w:val="009B02AB"/>
    <w:rsid w:val="009B1517"/>
    <w:rsid w:val="009C318A"/>
    <w:rsid w:val="009D1297"/>
    <w:rsid w:val="009D7ACD"/>
    <w:rsid w:val="009E274C"/>
    <w:rsid w:val="00A11177"/>
    <w:rsid w:val="00A200A0"/>
    <w:rsid w:val="00A32A22"/>
    <w:rsid w:val="00A800A0"/>
    <w:rsid w:val="00A928CB"/>
    <w:rsid w:val="00A9779F"/>
    <w:rsid w:val="00B1102E"/>
    <w:rsid w:val="00B20807"/>
    <w:rsid w:val="00B21D96"/>
    <w:rsid w:val="00B50512"/>
    <w:rsid w:val="00B557C5"/>
    <w:rsid w:val="00BD3D83"/>
    <w:rsid w:val="00BE29AF"/>
    <w:rsid w:val="00C107D8"/>
    <w:rsid w:val="00C24C82"/>
    <w:rsid w:val="00C638D7"/>
    <w:rsid w:val="00C7712F"/>
    <w:rsid w:val="00CA0003"/>
    <w:rsid w:val="00CA50EB"/>
    <w:rsid w:val="00CE2ED4"/>
    <w:rsid w:val="00D057DF"/>
    <w:rsid w:val="00D13DA6"/>
    <w:rsid w:val="00D22A08"/>
    <w:rsid w:val="00D26A48"/>
    <w:rsid w:val="00D50AD3"/>
    <w:rsid w:val="00D542BA"/>
    <w:rsid w:val="00D6772A"/>
    <w:rsid w:val="00D73171"/>
    <w:rsid w:val="00D76618"/>
    <w:rsid w:val="00D82C51"/>
    <w:rsid w:val="00D82F00"/>
    <w:rsid w:val="00DA24B5"/>
    <w:rsid w:val="00DB4B05"/>
    <w:rsid w:val="00DF2399"/>
    <w:rsid w:val="00E13469"/>
    <w:rsid w:val="00E14C0E"/>
    <w:rsid w:val="00E57DD1"/>
    <w:rsid w:val="00E70D63"/>
    <w:rsid w:val="00E748E7"/>
    <w:rsid w:val="00E828F6"/>
    <w:rsid w:val="00E82BD3"/>
    <w:rsid w:val="00EA166B"/>
    <w:rsid w:val="00EC3BC7"/>
    <w:rsid w:val="00EE3DBD"/>
    <w:rsid w:val="00F2253B"/>
    <w:rsid w:val="00F379E6"/>
    <w:rsid w:val="00F6177F"/>
    <w:rsid w:val="00F66B49"/>
    <w:rsid w:val="00F82A00"/>
    <w:rsid w:val="00F94D9B"/>
    <w:rsid w:val="00F96DF0"/>
    <w:rsid w:val="00FB3B14"/>
    <w:rsid w:val="00FD467A"/>
    <w:rsid w:val="00FE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635B84"/>
  <w15:chartTrackingRefBased/>
  <w15:docId w15:val="{ABBFC70D-3DCE-44B7-97B9-C88073B4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lang w:val="hu-HU" w:eastAsia="hu-HU"/>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bjegyzetszveg">
    <w:name w:val="footnote text"/>
    <w:basedOn w:val="Norml"/>
    <w:link w:val="LbjegyzetszvegChar"/>
    <w:semiHidden/>
    <w:rPr>
      <w:sz w:val="20"/>
      <w:szCs w:val="20"/>
    </w:rPr>
  </w:style>
  <w:style w:type="character" w:styleId="Lbjegyzet-hivatkozs">
    <w:name w:val="footnote reference"/>
    <w:semiHidden/>
    <w:rPr>
      <w:vertAlign w:val="superscript"/>
    </w:rPr>
  </w:style>
  <w:style w:type="character" w:styleId="Hiperhivatkozs">
    <w:name w:val="Hyperlink"/>
    <w:rPr>
      <w:color w:val="0000FF"/>
      <w:u w:val="single"/>
    </w:rPr>
  </w:style>
  <w:style w:type="paragraph" w:styleId="lfej">
    <w:name w:val="header"/>
    <w:basedOn w:val="Norml"/>
    <w:pPr>
      <w:tabs>
        <w:tab w:val="center" w:pos="4536"/>
        <w:tab w:val="right" w:pos="9072"/>
      </w:tabs>
    </w:pPr>
  </w:style>
  <w:style w:type="character" w:styleId="Oldalszm">
    <w:name w:val="page number"/>
    <w:basedOn w:val="Bekezdsalapbettpusa"/>
  </w:style>
  <w:style w:type="paragraph" w:styleId="llb">
    <w:name w:val="footer"/>
    <w:basedOn w:val="Norml"/>
    <w:pPr>
      <w:tabs>
        <w:tab w:val="center" w:pos="4536"/>
        <w:tab w:val="right" w:pos="9072"/>
      </w:tabs>
    </w:pPr>
  </w:style>
  <w:style w:type="paragraph" w:styleId="Buborkszveg">
    <w:name w:val="Balloon Text"/>
    <w:basedOn w:val="Norml"/>
    <w:link w:val="BuborkszvegChar"/>
    <w:rsid w:val="00DF2399"/>
    <w:rPr>
      <w:rFonts w:ascii="Tahoma" w:hAnsi="Tahoma"/>
      <w:sz w:val="16"/>
      <w:szCs w:val="16"/>
      <w:lang w:val="x-none" w:eastAsia="x-none"/>
    </w:rPr>
  </w:style>
  <w:style w:type="character" w:customStyle="1" w:styleId="BuborkszvegChar">
    <w:name w:val="Buborékszöveg Char"/>
    <w:link w:val="Buborkszveg"/>
    <w:rsid w:val="00DF2399"/>
    <w:rPr>
      <w:rFonts w:ascii="Tahoma" w:hAnsi="Tahoma" w:cs="Tahoma"/>
      <w:sz w:val="16"/>
      <w:szCs w:val="16"/>
    </w:rPr>
  </w:style>
  <w:style w:type="character" w:styleId="Jegyzethivatkozs">
    <w:name w:val="annotation reference"/>
    <w:rsid w:val="00775551"/>
    <w:rPr>
      <w:sz w:val="16"/>
      <w:szCs w:val="16"/>
    </w:rPr>
  </w:style>
  <w:style w:type="paragraph" w:styleId="Jegyzetszveg">
    <w:name w:val="annotation text"/>
    <w:basedOn w:val="Norml"/>
    <w:link w:val="JegyzetszvegChar"/>
    <w:rsid w:val="00775551"/>
    <w:rPr>
      <w:sz w:val="20"/>
      <w:szCs w:val="20"/>
    </w:rPr>
  </w:style>
  <w:style w:type="character" w:customStyle="1" w:styleId="JegyzetszvegChar">
    <w:name w:val="Jegyzetszöveg Char"/>
    <w:basedOn w:val="Bekezdsalapbettpusa"/>
    <w:link w:val="Jegyzetszveg"/>
    <w:rsid w:val="00775551"/>
  </w:style>
  <w:style w:type="paragraph" w:styleId="Megjegyzstrgya">
    <w:name w:val="annotation subject"/>
    <w:basedOn w:val="Jegyzetszveg"/>
    <w:next w:val="Jegyzetszveg"/>
    <w:link w:val="MegjegyzstrgyaChar"/>
    <w:rsid w:val="00775551"/>
    <w:rPr>
      <w:b/>
      <w:bCs/>
    </w:rPr>
  </w:style>
  <w:style w:type="character" w:customStyle="1" w:styleId="MegjegyzstrgyaChar">
    <w:name w:val="Megjegyzés tárgya Char"/>
    <w:link w:val="Megjegyzstrgya"/>
    <w:rsid w:val="00775551"/>
    <w:rPr>
      <w:b/>
      <w:bCs/>
    </w:rPr>
  </w:style>
  <w:style w:type="paragraph" w:styleId="Alcm">
    <w:name w:val="Subtitle"/>
    <w:basedOn w:val="Norml"/>
    <w:next w:val="Norml"/>
    <w:link w:val="AlcmChar"/>
    <w:qFormat/>
    <w:rsid w:val="00D73171"/>
    <w:pPr>
      <w:spacing w:after="60"/>
      <w:jc w:val="center"/>
      <w:outlineLvl w:val="1"/>
    </w:pPr>
    <w:rPr>
      <w:rFonts w:ascii="Cambria" w:hAnsi="Cambria"/>
    </w:rPr>
  </w:style>
  <w:style w:type="character" w:customStyle="1" w:styleId="AlcmChar">
    <w:name w:val="Alcím Char"/>
    <w:link w:val="Alcm"/>
    <w:rsid w:val="00D73171"/>
    <w:rPr>
      <w:rFonts w:ascii="Cambria" w:eastAsia="Times New Roman" w:hAnsi="Cambria" w:cs="Times New Roman"/>
      <w:sz w:val="24"/>
      <w:szCs w:val="24"/>
    </w:rPr>
  </w:style>
  <w:style w:type="character" w:customStyle="1" w:styleId="LbjegyzetszvegChar">
    <w:name w:val="Lábjegyzetszöveg Char"/>
    <w:link w:val="Lbjegyzetszveg"/>
    <w:semiHidden/>
    <w:rsid w:val="00A1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oktatas.hu" TargetMode="External"/><Relationship Id="rId3" Type="http://schemas.openxmlformats.org/officeDocument/2006/relationships/hyperlink" Target="http://www.oktatas.hu" TargetMode="External"/><Relationship Id="rId7" Type="http://schemas.openxmlformats.org/officeDocument/2006/relationships/hyperlink" Target="http://www.kormany.hu/hu/" TargetMode="External"/><Relationship Id="rId2" Type="http://schemas.openxmlformats.org/officeDocument/2006/relationships/hyperlink" Target="http://www.kormany.hu/hu/innovacios-es-technologiai" TargetMode="External"/><Relationship Id="rId1" Type="http://schemas.openxmlformats.org/officeDocument/2006/relationships/hyperlink" Target="http://www.ekvivalencia.hu" TargetMode="External"/><Relationship Id="rId6" Type="http://schemas.openxmlformats.org/officeDocument/2006/relationships/hyperlink" Target="http://www.naric.hu" TargetMode="External"/><Relationship Id="rId5" Type="http://schemas.openxmlformats.org/officeDocument/2006/relationships/hyperlink" Target="http://www.mab.hu" TargetMode="External"/><Relationship Id="rId10" Type="http://schemas.openxmlformats.org/officeDocument/2006/relationships/hyperlink" Target="http://www.mab.hu" TargetMode="External"/><Relationship Id="rId4" Type="http://schemas.openxmlformats.org/officeDocument/2006/relationships/hyperlink" Target="http://www.felvi.hu" TargetMode="External"/><Relationship Id="rId9" Type="http://schemas.openxmlformats.org/officeDocument/2006/relationships/hyperlink" Target="http://www.felv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49B70-8EE0-4E5B-8235-4BB1B8F3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2126</Words>
  <Characters>12119</Characters>
  <Application>Microsoft Office Word</Application>
  <DocSecurity>0</DocSecurity>
  <Lines>100</Lines>
  <Paragraphs>28</Paragraphs>
  <ScaleCrop>false</ScaleCrop>
  <HeadingPairs>
    <vt:vector size="2" baseType="variant">
      <vt:variant>
        <vt:lpstr>Cím</vt:lpstr>
      </vt:variant>
      <vt:variant>
        <vt:i4>1</vt:i4>
      </vt:variant>
    </vt:vector>
  </HeadingPairs>
  <TitlesOfParts>
    <vt:vector size="1" baseType="lpstr">
      <vt:lpstr>A Bologna-rendszerű ás magyar felsőoktatási rendszer leírása az Europass-Oklevélmelléklet 8</vt:lpstr>
    </vt:vector>
  </TitlesOfParts>
  <Company>Home</Company>
  <LinksUpToDate>false</LinksUpToDate>
  <CharactersWithSpaces>14217</CharactersWithSpaces>
  <SharedDoc>false</SharedDoc>
  <HLinks>
    <vt:vector size="60" baseType="variant">
      <vt:variant>
        <vt:i4>6488170</vt:i4>
      </vt:variant>
      <vt:variant>
        <vt:i4>27</vt:i4>
      </vt:variant>
      <vt:variant>
        <vt:i4>0</vt:i4>
      </vt:variant>
      <vt:variant>
        <vt:i4>5</vt:i4>
      </vt:variant>
      <vt:variant>
        <vt:lpwstr>http://www.mab.hu/</vt:lpwstr>
      </vt:variant>
      <vt:variant>
        <vt:lpwstr/>
      </vt:variant>
      <vt:variant>
        <vt:i4>983064</vt:i4>
      </vt:variant>
      <vt:variant>
        <vt:i4>24</vt:i4>
      </vt:variant>
      <vt:variant>
        <vt:i4>0</vt:i4>
      </vt:variant>
      <vt:variant>
        <vt:i4>5</vt:i4>
      </vt:variant>
      <vt:variant>
        <vt:lpwstr>http://www.felvi.hu/</vt:lpwstr>
      </vt:variant>
      <vt:variant>
        <vt:lpwstr/>
      </vt:variant>
      <vt:variant>
        <vt:i4>7340128</vt:i4>
      </vt:variant>
      <vt:variant>
        <vt:i4>21</vt:i4>
      </vt:variant>
      <vt:variant>
        <vt:i4>0</vt:i4>
      </vt:variant>
      <vt:variant>
        <vt:i4>5</vt:i4>
      </vt:variant>
      <vt:variant>
        <vt:lpwstr>http://www.oktatas.hu/</vt:lpwstr>
      </vt:variant>
      <vt:variant>
        <vt:lpwstr/>
      </vt:variant>
      <vt:variant>
        <vt:i4>1572879</vt:i4>
      </vt:variant>
      <vt:variant>
        <vt:i4>18</vt:i4>
      </vt:variant>
      <vt:variant>
        <vt:i4>0</vt:i4>
      </vt:variant>
      <vt:variant>
        <vt:i4>5</vt:i4>
      </vt:variant>
      <vt:variant>
        <vt:lpwstr>http://www.kormany.hu/hu/</vt:lpwstr>
      </vt:variant>
      <vt:variant>
        <vt:lpwstr/>
      </vt:variant>
      <vt:variant>
        <vt:i4>1245187</vt:i4>
      </vt:variant>
      <vt:variant>
        <vt:i4>15</vt:i4>
      </vt:variant>
      <vt:variant>
        <vt:i4>0</vt:i4>
      </vt:variant>
      <vt:variant>
        <vt:i4>5</vt:i4>
      </vt:variant>
      <vt:variant>
        <vt:lpwstr>http://www.naric.hu/</vt:lpwstr>
      </vt:variant>
      <vt:variant>
        <vt:lpwstr/>
      </vt:variant>
      <vt:variant>
        <vt:i4>6488170</vt:i4>
      </vt:variant>
      <vt:variant>
        <vt:i4>12</vt:i4>
      </vt:variant>
      <vt:variant>
        <vt:i4>0</vt:i4>
      </vt:variant>
      <vt:variant>
        <vt:i4>5</vt:i4>
      </vt:variant>
      <vt:variant>
        <vt:lpwstr>http://www.mab.hu/</vt:lpwstr>
      </vt:variant>
      <vt:variant>
        <vt:lpwstr/>
      </vt:variant>
      <vt:variant>
        <vt:i4>983064</vt:i4>
      </vt:variant>
      <vt:variant>
        <vt:i4>9</vt:i4>
      </vt:variant>
      <vt:variant>
        <vt:i4>0</vt:i4>
      </vt:variant>
      <vt:variant>
        <vt:i4>5</vt:i4>
      </vt:variant>
      <vt:variant>
        <vt:lpwstr>http://www.felvi.hu/</vt:lpwstr>
      </vt:variant>
      <vt:variant>
        <vt:lpwstr/>
      </vt:variant>
      <vt:variant>
        <vt:i4>7340128</vt:i4>
      </vt:variant>
      <vt:variant>
        <vt:i4>6</vt:i4>
      </vt:variant>
      <vt:variant>
        <vt:i4>0</vt:i4>
      </vt:variant>
      <vt:variant>
        <vt:i4>5</vt:i4>
      </vt:variant>
      <vt:variant>
        <vt:lpwstr>http://www.oktatas.hu/</vt:lpwstr>
      </vt:variant>
      <vt:variant>
        <vt:lpwstr/>
      </vt:variant>
      <vt:variant>
        <vt:i4>2621558</vt:i4>
      </vt:variant>
      <vt:variant>
        <vt:i4>3</vt:i4>
      </vt:variant>
      <vt:variant>
        <vt:i4>0</vt:i4>
      </vt:variant>
      <vt:variant>
        <vt:i4>5</vt:i4>
      </vt:variant>
      <vt:variant>
        <vt:lpwstr>http://www.kormany.hu/hu/innovacios-es-technologiai</vt:lpwstr>
      </vt:variant>
      <vt:variant>
        <vt:lpwstr/>
      </vt:variant>
      <vt:variant>
        <vt:i4>8257596</vt:i4>
      </vt:variant>
      <vt:variant>
        <vt:i4>0</vt:i4>
      </vt:variant>
      <vt:variant>
        <vt:i4>0</vt:i4>
      </vt:variant>
      <vt:variant>
        <vt:i4>5</vt:i4>
      </vt:variant>
      <vt:variant>
        <vt:lpwstr>http://www.ekvivalencia.hu/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Bologna-rendszerű ás magyar felsőoktatási rendszer leírása az Europass-Oklevélmelléklet 8</dc:title>
  <dc:subject/>
  <dc:creator>Margit</dc:creator>
  <cp:keywords/>
  <cp:lastModifiedBy>János Végső</cp:lastModifiedBy>
  <cp:revision>2</cp:revision>
  <dcterms:created xsi:type="dcterms:W3CDTF">2023-11-13T13:37:00Z</dcterms:created>
  <dcterms:modified xsi:type="dcterms:W3CDTF">2023-11-13T13:37:00Z</dcterms:modified>
</cp:coreProperties>
</file>